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FC" w:rsidRDefault="00191971">
      <w:pPr>
        <w:spacing w:after="0" w:line="240" w:lineRule="auto"/>
        <w:jc w:val="both"/>
        <w:rPr>
          <w:rFonts w:ascii="Times New Roman" w:hAnsi="Times New Roman" w:cs="Times New Roman"/>
          <w:b/>
          <w:sz w:val="20"/>
          <w:szCs w:val="20"/>
        </w:rPr>
      </w:pPr>
      <w:r>
        <w:rPr>
          <w:rFonts w:ascii="Times New Roman" w:hAnsi="Times New Roman" w:cs="Times New Roman"/>
          <w:b/>
          <w:noProof/>
          <w:sz w:val="20"/>
          <w:szCs w:val="20"/>
          <w:lang w:eastAsia="fr-FR"/>
        </w:rPr>
        <w:drawing>
          <wp:inline distT="0" distB="0" distL="0" distR="0">
            <wp:extent cx="5759450" cy="687705"/>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59450" cy="688264"/>
                    </a:xfrm>
                    <a:prstGeom prst="rect">
                      <a:avLst/>
                    </a:prstGeom>
                    <a:noFill/>
                    <a:ln>
                      <a:noFill/>
                    </a:ln>
                  </pic:spPr>
                </pic:pic>
              </a:graphicData>
            </a:graphic>
          </wp:inline>
        </w:drawing>
      </w:r>
    </w:p>
    <w:p w:rsidR="007E56C2" w:rsidRDefault="00511C4A">
      <w:pPr>
        <w:spacing w:after="0" w:line="360" w:lineRule="auto"/>
        <w:jc w:val="center"/>
        <w:rPr>
          <w:rFonts w:ascii="Times New Roman" w:hAnsi="Times New Roman" w:cs="Times New Roman"/>
          <w:b/>
          <w:color w:val="0070C0"/>
          <w:sz w:val="20"/>
          <w:szCs w:val="20"/>
        </w:rPr>
      </w:pPr>
      <w:r>
        <w:rPr>
          <w:rFonts w:ascii="Times New Roman" w:hAnsi="Times New Roman" w:cs="Times New Roman"/>
          <w:b/>
          <w:sz w:val="24"/>
          <w:szCs w:val="24"/>
          <w:lang w:eastAsia="fr-FR"/>
        </w:rPr>
        <w:pict>
          <v:rect id="_x0000_s1026" style="position:absolute;left:0;text-align:left;margin-left:2.35pt;margin-top:1.4pt;width:457.2pt;height:56.6pt;z-index:251659264" filled="f" strokecolor="blue" strokeweight="1.5pt"/>
        </w:pict>
      </w:r>
    </w:p>
    <w:p w:rsidR="005F20FC" w:rsidRDefault="00191971">
      <w:pPr>
        <w:spacing w:after="0" w:line="360" w:lineRule="auto"/>
        <w:jc w:val="center"/>
        <w:rPr>
          <w:rFonts w:ascii="Times New Roman" w:hAnsi="Times New Roman" w:cs="Times New Roman"/>
          <w:b/>
          <w:color w:val="0070C0"/>
          <w:sz w:val="20"/>
          <w:szCs w:val="20"/>
        </w:rPr>
      </w:pPr>
      <w:r>
        <w:rPr>
          <w:rFonts w:ascii="Times New Roman" w:hAnsi="Times New Roman" w:cs="Times New Roman"/>
          <w:b/>
          <w:color w:val="0070C0"/>
          <w:sz w:val="20"/>
          <w:szCs w:val="20"/>
        </w:rPr>
        <w:t xml:space="preserve">Choc septique </w:t>
      </w:r>
      <w:r w:rsidR="008B616D">
        <w:rPr>
          <w:rFonts w:ascii="Times New Roman" w:hAnsi="Times New Roman" w:cs="Times New Roman"/>
          <w:b/>
          <w:color w:val="0070C0"/>
          <w:sz w:val="20"/>
          <w:szCs w:val="20"/>
        </w:rPr>
        <w:t>nosocomial chez</w:t>
      </w:r>
      <w:r>
        <w:rPr>
          <w:rFonts w:ascii="Times New Roman" w:hAnsi="Times New Roman" w:cs="Times New Roman"/>
          <w:b/>
          <w:color w:val="0070C0"/>
          <w:sz w:val="20"/>
          <w:szCs w:val="20"/>
        </w:rPr>
        <w:t xml:space="preserve"> les </w:t>
      </w:r>
      <w:proofErr w:type="spellStart"/>
      <w:r>
        <w:rPr>
          <w:rFonts w:ascii="Times New Roman" w:hAnsi="Times New Roman" w:cs="Times New Roman"/>
          <w:b/>
          <w:color w:val="0070C0"/>
          <w:sz w:val="20"/>
          <w:szCs w:val="20"/>
        </w:rPr>
        <w:t>cérébrolesés</w:t>
      </w:r>
      <w:proofErr w:type="spellEnd"/>
      <w:r>
        <w:rPr>
          <w:rFonts w:ascii="Times New Roman" w:hAnsi="Times New Roman" w:cs="Times New Roman"/>
          <w:b/>
          <w:color w:val="0070C0"/>
          <w:sz w:val="20"/>
          <w:szCs w:val="20"/>
        </w:rPr>
        <w:t xml:space="preserve"> au Centre Hospitalier Universitaire Joseph </w:t>
      </w:r>
      <w:proofErr w:type="spellStart"/>
      <w:r>
        <w:rPr>
          <w:rFonts w:ascii="Times New Roman" w:hAnsi="Times New Roman" w:cs="Times New Roman"/>
          <w:b/>
          <w:color w:val="0070C0"/>
          <w:sz w:val="20"/>
          <w:szCs w:val="20"/>
        </w:rPr>
        <w:t>Ravoahangy</w:t>
      </w:r>
      <w:proofErr w:type="spellEnd"/>
      <w:r>
        <w:rPr>
          <w:rFonts w:ascii="Times New Roman" w:hAnsi="Times New Roman" w:cs="Times New Roman"/>
          <w:b/>
          <w:color w:val="0070C0"/>
          <w:sz w:val="20"/>
          <w:szCs w:val="20"/>
        </w:rPr>
        <w:t xml:space="preserve"> </w:t>
      </w:r>
      <w:proofErr w:type="spellStart"/>
      <w:proofErr w:type="gramStart"/>
      <w:r>
        <w:rPr>
          <w:rFonts w:ascii="Times New Roman" w:hAnsi="Times New Roman" w:cs="Times New Roman"/>
          <w:b/>
          <w:color w:val="0070C0"/>
          <w:sz w:val="20"/>
          <w:szCs w:val="20"/>
        </w:rPr>
        <w:t>Andrianavalona</w:t>
      </w:r>
      <w:proofErr w:type="spellEnd"/>
      <w:r>
        <w:rPr>
          <w:rFonts w:ascii="Times New Roman" w:hAnsi="Times New Roman" w:cs="Times New Roman"/>
          <w:b/>
          <w:color w:val="0070C0"/>
          <w:sz w:val="20"/>
          <w:szCs w:val="20"/>
        </w:rPr>
        <w:t xml:space="preserve">  Antananarivo</w:t>
      </w:r>
      <w:proofErr w:type="gramEnd"/>
    </w:p>
    <w:p w:rsidR="005F20FC" w:rsidRDefault="005F20FC">
      <w:pPr>
        <w:spacing w:after="0" w:line="360" w:lineRule="auto"/>
        <w:jc w:val="both"/>
        <w:rPr>
          <w:rFonts w:ascii="Times New Roman" w:hAnsi="Times New Roman" w:cs="Times New Roman"/>
          <w:b/>
          <w:color w:val="0070C0"/>
          <w:sz w:val="20"/>
          <w:szCs w:val="20"/>
          <w:vertAlign w:val="superscript"/>
        </w:rPr>
      </w:pPr>
    </w:p>
    <w:p w:rsidR="005F20FC" w:rsidRDefault="00191971">
      <w:pPr>
        <w:spacing w:after="0" w:line="360" w:lineRule="auto"/>
        <w:jc w:val="center"/>
        <w:rPr>
          <w:rFonts w:ascii="Times New Roman" w:eastAsia="Segoe UI" w:hAnsi="Times New Roman" w:cs="Times New Roman"/>
          <w:b/>
          <w:i/>
          <w:iCs/>
          <w:color w:val="0070C0"/>
          <w:sz w:val="20"/>
          <w:szCs w:val="20"/>
          <w:shd w:val="clear" w:color="auto" w:fill="FFFFFF"/>
        </w:rPr>
      </w:pPr>
      <w:proofErr w:type="spellStart"/>
      <w:r>
        <w:rPr>
          <w:rFonts w:ascii="Times New Roman" w:hAnsi="Times New Roman" w:cs="Times New Roman"/>
          <w:b/>
          <w:color w:val="0070C0"/>
          <w:sz w:val="24"/>
          <w:szCs w:val="24"/>
        </w:rPr>
        <w:t>Rahanitriniaina</w:t>
      </w:r>
      <w:proofErr w:type="spellEnd"/>
      <w:r>
        <w:rPr>
          <w:rFonts w:ascii="Times New Roman" w:hAnsi="Times New Roman" w:cs="Times New Roman"/>
          <w:b/>
          <w:color w:val="0070C0"/>
          <w:sz w:val="24"/>
          <w:szCs w:val="24"/>
        </w:rPr>
        <w:t xml:space="preserve"> NMP</w:t>
      </w:r>
      <w:r>
        <w:rPr>
          <w:rFonts w:ascii="Times New Roman" w:hAnsi="Times New Roman" w:cs="Times New Roman"/>
          <w:b/>
          <w:color w:val="0070C0"/>
          <w:sz w:val="24"/>
          <w:szCs w:val="24"/>
          <w:vertAlign w:val="superscript"/>
        </w:rPr>
        <w:t>1</w:t>
      </w:r>
      <w:r>
        <w:rPr>
          <w:rFonts w:ascii="Times New Roman" w:hAnsi="Times New Roman" w:cs="Times New Roman"/>
          <w:b/>
          <w:color w:val="0070C0"/>
          <w:sz w:val="24"/>
          <w:szCs w:val="24"/>
        </w:rPr>
        <w:t xml:space="preserve">, </w:t>
      </w:r>
      <w:proofErr w:type="spellStart"/>
      <w:r>
        <w:rPr>
          <w:rFonts w:ascii="Times New Roman" w:hAnsi="Times New Roman" w:cs="Times New Roman"/>
          <w:b/>
          <w:color w:val="0070C0"/>
          <w:sz w:val="24"/>
          <w:szCs w:val="24"/>
        </w:rPr>
        <w:t>Rabenjarison</w:t>
      </w:r>
      <w:proofErr w:type="spellEnd"/>
      <w:r>
        <w:rPr>
          <w:rFonts w:ascii="Times New Roman" w:hAnsi="Times New Roman" w:cs="Times New Roman"/>
          <w:b/>
          <w:color w:val="0070C0"/>
          <w:sz w:val="24"/>
          <w:szCs w:val="24"/>
        </w:rPr>
        <w:t xml:space="preserve"> F</w:t>
      </w:r>
      <w:r>
        <w:rPr>
          <w:rFonts w:ascii="Times New Roman" w:hAnsi="Times New Roman" w:cs="Times New Roman"/>
          <w:b/>
          <w:color w:val="0070C0"/>
          <w:sz w:val="24"/>
          <w:szCs w:val="24"/>
          <w:vertAlign w:val="superscript"/>
        </w:rPr>
        <w:t>2</w:t>
      </w:r>
      <w:r>
        <w:rPr>
          <w:rFonts w:ascii="Times New Roman" w:hAnsi="Times New Roman" w:cs="Times New Roman"/>
          <w:b/>
          <w:color w:val="0070C0"/>
          <w:sz w:val="24"/>
          <w:szCs w:val="24"/>
        </w:rPr>
        <w:t xml:space="preserve">, </w:t>
      </w:r>
      <w:proofErr w:type="spellStart"/>
      <w:r>
        <w:rPr>
          <w:rFonts w:ascii="Times New Roman" w:hAnsi="Times New Roman" w:cs="Times New Roman"/>
          <w:b/>
          <w:color w:val="0070C0"/>
          <w:sz w:val="24"/>
          <w:szCs w:val="24"/>
        </w:rPr>
        <w:t>Bemora</w:t>
      </w:r>
      <w:proofErr w:type="spellEnd"/>
      <w:r>
        <w:rPr>
          <w:rFonts w:ascii="Times New Roman" w:hAnsi="Times New Roman" w:cs="Times New Roman"/>
          <w:b/>
          <w:color w:val="0070C0"/>
          <w:sz w:val="24"/>
          <w:szCs w:val="24"/>
        </w:rPr>
        <w:t xml:space="preserve"> JS</w:t>
      </w:r>
      <w:r>
        <w:rPr>
          <w:rFonts w:ascii="Times New Roman" w:hAnsi="Times New Roman" w:cs="Times New Roman"/>
          <w:b/>
          <w:color w:val="0070C0"/>
          <w:sz w:val="24"/>
          <w:szCs w:val="24"/>
          <w:vertAlign w:val="superscript"/>
        </w:rPr>
        <w:t>3</w:t>
      </w:r>
      <w:r>
        <w:rPr>
          <w:rFonts w:ascii="Times New Roman" w:hAnsi="Times New Roman" w:cs="Times New Roman"/>
          <w:b/>
          <w:color w:val="0070C0"/>
          <w:sz w:val="24"/>
          <w:szCs w:val="24"/>
        </w:rPr>
        <w:t xml:space="preserve">, </w:t>
      </w:r>
      <w:proofErr w:type="spellStart"/>
      <w:r>
        <w:rPr>
          <w:rFonts w:ascii="Times New Roman" w:hAnsi="Times New Roman" w:cs="Times New Roman"/>
          <w:b/>
          <w:color w:val="0070C0"/>
          <w:sz w:val="24"/>
          <w:szCs w:val="24"/>
        </w:rPr>
        <w:t>R</w:t>
      </w:r>
      <w:r>
        <w:rPr>
          <w:rFonts w:ascii="Times New Roman" w:hAnsi="Times New Roman" w:cs="Times New Roman"/>
          <w:b/>
          <w:color w:val="0070C0"/>
        </w:rPr>
        <w:t>aholinjatovo</w:t>
      </w:r>
      <w:proofErr w:type="spellEnd"/>
      <w:r>
        <w:rPr>
          <w:rFonts w:ascii="Times New Roman" w:hAnsi="Times New Roman" w:cs="Times New Roman"/>
          <w:b/>
          <w:color w:val="0070C0"/>
        </w:rPr>
        <w:t xml:space="preserve"> MHO</w:t>
      </w:r>
      <w:r>
        <w:rPr>
          <w:rFonts w:ascii="Times New Roman" w:hAnsi="Times New Roman" w:cs="Times New Roman"/>
          <w:b/>
          <w:color w:val="0070C0"/>
          <w:vertAlign w:val="superscript"/>
        </w:rPr>
        <w:t>1</w:t>
      </w:r>
      <w:r>
        <w:rPr>
          <w:rFonts w:ascii="Times New Roman" w:hAnsi="Times New Roman" w:cs="Times New Roman"/>
          <w:b/>
          <w:color w:val="0070C0"/>
        </w:rPr>
        <w:t xml:space="preserve">, </w:t>
      </w:r>
      <w:proofErr w:type="spellStart"/>
      <w:r>
        <w:rPr>
          <w:rFonts w:ascii="Times New Roman" w:hAnsi="Times New Roman" w:cs="Times New Roman"/>
          <w:b/>
          <w:color w:val="0070C0"/>
          <w:sz w:val="24"/>
          <w:szCs w:val="24"/>
        </w:rPr>
        <w:t>Rakotoarison</w:t>
      </w:r>
      <w:proofErr w:type="spellEnd"/>
      <w:r>
        <w:rPr>
          <w:rFonts w:ascii="Times New Roman" w:hAnsi="Times New Roman" w:cs="Times New Roman"/>
          <w:b/>
          <w:color w:val="0070C0"/>
          <w:sz w:val="24"/>
          <w:szCs w:val="24"/>
        </w:rPr>
        <w:t xml:space="preserve"> RCN</w:t>
      </w:r>
      <w:r>
        <w:rPr>
          <w:rFonts w:ascii="Times New Roman" w:hAnsi="Times New Roman" w:cs="Times New Roman"/>
          <w:b/>
          <w:color w:val="0070C0"/>
          <w:sz w:val="24"/>
          <w:szCs w:val="24"/>
          <w:vertAlign w:val="superscript"/>
        </w:rPr>
        <w:t>4</w:t>
      </w:r>
      <w:r>
        <w:rPr>
          <w:rFonts w:ascii="Times New Roman" w:hAnsi="Times New Roman" w:cs="Times New Roman"/>
          <w:b/>
          <w:color w:val="0070C0"/>
          <w:sz w:val="24"/>
          <w:szCs w:val="24"/>
        </w:rPr>
        <w:t xml:space="preserve">, </w:t>
      </w:r>
      <w:proofErr w:type="spellStart"/>
      <w:r>
        <w:rPr>
          <w:rFonts w:ascii="Times New Roman" w:hAnsi="Times New Roman" w:cs="Times New Roman"/>
          <w:b/>
          <w:color w:val="0070C0"/>
          <w:sz w:val="24"/>
          <w:szCs w:val="24"/>
        </w:rPr>
        <w:t>Rajaonera</w:t>
      </w:r>
      <w:proofErr w:type="spellEnd"/>
      <w:r>
        <w:rPr>
          <w:rFonts w:ascii="Times New Roman" w:hAnsi="Times New Roman" w:cs="Times New Roman"/>
          <w:b/>
          <w:color w:val="0070C0"/>
          <w:sz w:val="24"/>
          <w:szCs w:val="24"/>
        </w:rPr>
        <w:t xml:space="preserve"> AT</w:t>
      </w:r>
      <w:r>
        <w:rPr>
          <w:rFonts w:ascii="Times New Roman" w:hAnsi="Times New Roman" w:cs="Times New Roman"/>
          <w:b/>
          <w:color w:val="0070C0"/>
          <w:sz w:val="24"/>
          <w:szCs w:val="24"/>
          <w:vertAlign w:val="superscript"/>
        </w:rPr>
        <w:t>4</w:t>
      </w:r>
    </w:p>
    <w:p w:rsidR="005F20FC" w:rsidRDefault="005F20FC">
      <w:pPr>
        <w:pStyle w:val="NormalWeb"/>
        <w:shd w:val="clear" w:color="auto" w:fill="FFFFFF"/>
        <w:spacing w:before="0" w:beforeAutospacing="0" w:after="0" w:afterAutospacing="0"/>
        <w:jc w:val="both"/>
        <w:rPr>
          <w:rFonts w:eastAsia="Segoe UI"/>
          <w:i/>
          <w:iCs/>
          <w:sz w:val="20"/>
          <w:szCs w:val="20"/>
          <w:shd w:val="clear" w:color="auto" w:fill="FFFFFF"/>
        </w:rPr>
      </w:pPr>
    </w:p>
    <w:p w:rsidR="005F20FC" w:rsidRDefault="00191971">
      <w:pPr>
        <w:pStyle w:val="NormalWeb"/>
        <w:numPr>
          <w:ilvl w:val="0"/>
          <w:numId w:val="2"/>
        </w:numPr>
        <w:shd w:val="clear" w:color="auto" w:fill="FFFFFF"/>
        <w:spacing w:before="0" w:beforeAutospacing="0" w:after="0" w:afterAutospacing="0"/>
        <w:jc w:val="both"/>
        <w:rPr>
          <w:rFonts w:eastAsia="Segoe UI"/>
          <w:i/>
          <w:iCs/>
          <w:sz w:val="20"/>
          <w:szCs w:val="20"/>
          <w:shd w:val="clear" w:color="auto" w:fill="FFFFFF"/>
        </w:rPr>
      </w:pPr>
      <w:r>
        <w:rPr>
          <w:rFonts w:eastAsia="Segoe UI"/>
          <w:i/>
          <w:iCs/>
          <w:sz w:val="20"/>
          <w:szCs w:val="20"/>
          <w:shd w:val="clear" w:color="auto" w:fill="FFFFFF"/>
        </w:rPr>
        <w:t xml:space="preserve">Service de Réanimation Chirurgicale, CHU Joseph </w:t>
      </w:r>
      <w:proofErr w:type="spellStart"/>
      <w:r>
        <w:rPr>
          <w:rFonts w:eastAsia="Segoe UI"/>
          <w:i/>
          <w:iCs/>
          <w:sz w:val="20"/>
          <w:szCs w:val="20"/>
          <w:shd w:val="clear" w:color="auto" w:fill="FFFFFF"/>
        </w:rPr>
        <w:t>Ravoahangy</w:t>
      </w:r>
      <w:proofErr w:type="spellEnd"/>
      <w:r>
        <w:rPr>
          <w:rFonts w:eastAsia="Segoe UI"/>
          <w:i/>
          <w:iCs/>
          <w:sz w:val="20"/>
          <w:szCs w:val="20"/>
          <w:shd w:val="clear" w:color="auto" w:fill="FFFFFF"/>
        </w:rPr>
        <w:t xml:space="preserve"> </w:t>
      </w:r>
      <w:proofErr w:type="spellStart"/>
      <w:r>
        <w:rPr>
          <w:rFonts w:eastAsia="Segoe UI"/>
          <w:i/>
          <w:iCs/>
          <w:sz w:val="20"/>
          <w:szCs w:val="20"/>
          <w:shd w:val="clear" w:color="auto" w:fill="FFFFFF"/>
        </w:rPr>
        <w:t>Andrianavalona</w:t>
      </w:r>
      <w:proofErr w:type="spellEnd"/>
      <w:r>
        <w:rPr>
          <w:rFonts w:eastAsia="Segoe UI"/>
          <w:i/>
          <w:iCs/>
          <w:sz w:val="20"/>
          <w:szCs w:val="20"/>
          <w:shd w:val="clear" w:color="auto" w:fill="FFFFFF"/>
        </w:rPr>
        <w:t>, Antananarivo, Madagascar</w:t>
      </w:r>
    </w:p>
    <w:p w:rsidR="005F20FC" w:rsidRDefault="00191971">
      <w:pPr>
        <w:pStyle w:val="NormalWeb"/>
        <w:numPr>
          <w:ilvl w:val="0"/>
          <w:numId w:val="3"/>
        </w:numPr>
        <w:shd w:val="clear" w:color="auto" w:fill="FFFFFF"/>
        <w:spacing w:before="0" w:beforeAutospacing="0" w:after="0" w:afterAutospacing="0"/>
        <w:jc w:val="both"/>
        <w:rPr>
          <w:rFonts w:eastAsia="Segoe UI"/>
          <w:i/>
          <w:iCs/>
          <w:sz w:val="20"/>
          <w:szCs w:val="20"/>
          <w:shd w:val="clear" w:color="auto" w:fill="FFFFFF"/>
        </w:rPr>
      </w:pPr>
      <w:r>
        <w:rPr>
          <w:rFonts w:eastAsia="Segoe UI"/>
          <w:i/>
          <w:iCs/>
          <w:sz w:val="20"/>
          <w:szCs w:val="20"/>
          <w:shd w:val="clear" w:color="auto" w:fill="FFFFFF"/>
        </w:rPr>
        <w:t xml:space="preserve">Service de Réanimation, CHU </w:t>
      </w:r>
      <w:proofErr w:type="spellStart"/>
      <w:r>
        <w:rPr>
          <w:rFonts w:eastAsia="Segoe UI"/>
          <w:i/>
          <w:iCs/>
          <w:sz w:val="20"/>
          <w:szCs w:val="20"/>
          <w:shd w:val="clear" w:color="auto" w:fill="FFFFFF"/>
        </w:rPr>
        <w:t>Andohatapenaka</w:t>
      </w:r>
      <w:proofErr w:type="spellEnd"/>
      <w:r>
        <w:rPr>
          <w:rFonts w:eastAsia="Segoe UI"/>
          <w:i/>
          <w:iCs/>
          <w:sz w:val="20"/>
          <w:szCs w:val="20"/>
          <w:shd w:val="clear" w:color="auto" w:fill="FFFFFF"/>
        </w:rPr>
        <w:t>, Antananarivo, Madagascar</w:t>
      </w:r>
    </w:p>
    <w:p w:rsidR="005F20FC" w:rsidRDefault="00191971">
      <w:pPr>
        <w:pStyle w:val="NormalWeb"/>
        <w:numPr>
          <w:ilvl w:val="0"/>
          <w:numId w:val="3"/>
        </w:numPr>
        <w:shd w:val="clear" w:color="auto" w:fill="FFFFFF"/>
        <w:spacing w:before="0" w:beforeAutospacing="0" w:after="0" w:afterAutospacing="0"/>
        <w:jc w:val="both"/>
        <w:rPr>
          <w:sz w:val="20"/>
          <w:szCs w:val="20"/>
        </w:rPr>
      </w:pPr>
      <w:r>
        <w:rPr>
          <w:rFonts w:eastAsia="Segoe UI"/>
          <w:i/>
          <w:iCs/>
          <w:sz w:val="20"/>
          <w:szCs w:val="20"/>
          <w:shd w:val="clear" w:color="auto" w:fill="FFFFFF"/>
        </w:rPr>
        <w:t xml:space="preserve">Service de Neurochirurgie, CHU Joseph </w:t>
      </w:r>
      <w:proofErr w:type="spellStart"/>
      <w:r>
        <w:rPr>
          <w:rFonts w:eastAsia="Segoe UI"/>
          <w:i/>
          <w:iCs/>
          <w:sz w:val="20"/>
          <w:szCs w:val="20"/>
          <w:shd w:val="clear" w:color="auto" w:fill="FFFFFF"/>
        </w:rPr>
        <w:t>Ravoahangy</w:t>
      </w:r>
      <w:proofErr w:type="spellEnd"/>
      <w:r>
        <w:rPr>
          <w:rFonts w:eastAsia="Segoe UI"/>
          <w:i/>
          <w:iCs/>
          <w:sz w:val="20"/>
          <w:szCs w:val="20"/>
          <w:shd w:val="clear" w:color="auto" w:fill="FFFFFF"/>
        </w:rPr>
        <w:t xml:space="preserve"> </w:t>
      </w:r>
      <w:proofErr w:type="spellStart"/>
      <w:r>
        <w:rPr>
          <w:rFonts w:eastAsia="Segoe UI"/>
          <w:i/>
          <w:iCs/>
          <w:sz w:val="20"/>
          <w:szCs w:val="20"/>
          <w:shd w:val="clear" w:color="auto" w:fill="FFFFFF"/>
        </w:rPr>
        <w:t>Andrianavalona</w:t>
      </w:r>
      <w:proofErr w:type="spellEnd"/>
      <w:r>
        <w:rPr>
          <w:rFonts w:eastAsia="Segoe UI"/>
          <w:i/>
          <w:iCs/>
          <w:sz w:val="20"/>
          <w:szCs w:val="20"/>
          <w:shd w:val="clear" w:color="auto" w:fill="FFFFFF"/>
        </w:rPr>
        <w:t>, Antananarivo, Madagascar</w:t>
      </w:r>
    </w:p>
    <w:p w:rsidR="005F20FC" w:rsidRDefault="00191971">
      <w:pPr>
        <w:pStyle w:val="NormalWeb"/>
        <w:numPr>
          <w:ilvl w:val="0"/>
          <w:numId w:val="3"/>
        </w:numPr>
        <w:shd w:val="clear" w:color="auto" w:fill="FFFFFF"/>
        <w:spacing w:before="0" w:beforeAutospacing="0" w:after="0" w:afterAutospacing="0"/>
        <w:jc w:val="both"/>
        <w:rPr>
          <w:sz w:val="20"/>
          <w:szCs w:val="20"/>
        </w:rPr>
      </w:pPr>
      <w:r>
        <w:rPr>
          <w:rFonts w:eastAsia="Segoe UI"/>
          <w:i/>
          <w:iCs/>
          <w:sz w:val="20"/>
          <w:szCs w:val="20"/>
          <w:shd w:val="clear" w:color="auto" w:fill="FFFFFF"/>
        </w:rPr>
        <w:t>Faculté de Médecine de l’Université de Fianarantsoa, Madagascar</w:t>
      </w:r>
    </w:p>
    <w:p w:rsidR="005F20FC" w:rsidRDefault="00191971">
      <w:pPr>
        <w:pStyle w:val="NormalWeb"/>
        <w:numPr>
          <w:ilvl w:val="0"/>
          <w:numId w:val="3"/>
        </w:numPr>
        <w:shd w:val="clear" w:color="auto" w:fill="FFFFFF"/>
        <w:spacing w:before="0" w:beforeAutospacing="0" w:after="0" w:afterAutospacing="0"/>
        <w:jc w:val="both"/>
        <w:rPr>
          <w:rFonts w:eastAsia="Segoe UI"/>
          <w:sz w:val="20"/>
          <w:szCs w:val="20"/>
        </w:rPr>
      </w:pPr>
      <w:r>
        <w:rPr>
          <w:rFonts w:eastAsia="Segoe UI"/>
          <w:i/>
          <w:iCs/>
          <w:sz w:val="20"/>
          <w:szCs w:val="20"/>
          <w:shd w:val="clear" w:color="auto" w:fill="FFFFFF"/>
        </w:rPr>
        <w:t>Faculté de Médecine de l’Université d’Antananarivo, Madagascar</w:t>
      </w:r>
    </w:p>
    <w:p w:rsidR="005F20FC" w:rsidRDefault="005F20FC">
      <w:pPr>
        <w:pStyle w:val="NormalWeb"/>
        <w:shd w:val="clear" w:color="auto" w:fill="FFFFFF"/>
        <w:spacing w:before="0" w:beforeAutospacing="0" w:after="0" w:afterAutospacing="0"/>
        <w:jc w:val="both"/>
        <w:rPr>
          <w:rStyle w:val="lev"/>
          <w:rFonts w:eastAsia="Segoe UI"/>
          <w:sz w:val="20"/>
          <w:szCs w:val="20"/>
          <w:shd w:val="clear" w:color="auto" w:fill="FFFFFF"/>
        </w:rPr>
      </w:pPr>
    </w:p>
    <w:p w:rsidR="005F20FC" w:rsidRDefault="00191971">
      <w:pPr>
        <w:pStyle w:val="NormalWeb"/>
        <w:shd w:val="clear" w:color="auto" w:fill="FFFFFF"/>
        <w:spacing w:before="0" w:beforeAutospacing="0" w:after="0" w:afterAutospacing="0"/>
        <w:jc w:val="both"/>
        <w:rPr>
          <w:rFonts w:eastAsia="Segoe UI"/>
          <w:b/>
          <w:bCs/>
          <w:sz w:val="20"/>
          <w:szCs w:val="20"/>
          <w:shd w:val="clear" w:color="auto" w:fill="FFFFFF"/>
        </w:rPr>
      </w:pPr>
      <w:proofErr w:type="gramStart"/>
      <w:r>
        <w:rPr>
          <w:rStyle w:val="lev"/>
          <w:rFonts w:eastAsia="Segoe UI"/>
          <w:sz w:val="20"/>
          <w:szCs w:val="20"/>
          <w:shd w:val="clear" w:color="auto" w:fill="FFFFFF"/>
        </w:rPr>
        <w:t>Auteur:</w:t>
      </w:r>
      <w:proofErr w:type="gramEnd"/>
      <w:r>
        <w:rPr>
          <w:rFonts w:eastAsia="Segoe UI"/>
          <w:b/>
          <w:bCs/>
          <w:sz w:val="20"/>
          <w:szCs w:val="20"/>
          <w:shd w:val="clear" w:color="auto" w:fill="FFFFFF"/>
        </w:rPr>
        <w:t> </w:t>
      </w:r>
    </w:p>
    <w:p w:rsidR="005F20FC" w:rsidRDefault="00191971">
      <w:pPr>
        <w:pStyle w:val="NormalWeb"/>
        <w:shd w:val="clear" w:color="auto" w:fill="FFFFFF"/>
        <w:spacing w:before="0" w:beforeAutospacing="0" w:after="0" w:afterAutospacing="0"/>
        <w:jc w:val="both"/>
        <w:rPr>
          <w:rFonts w:eastAsia="Segoe UI"/>
          <w:sz w:val="20"/>
          <w:szCs w:val="20"/>
          <w:shd w:val="clear" w:color="auto" w:fill="FFFFFF"/>
        </w:rPr>
      </w:pPr>
      <w:proofErr w:type="spellStart"/>
      <w:r>
        <w:rPr>
          <w:rFonts w:eastAsia="Segoe UI"/>
          <w:sz w:val="20"/>
          <w:szCs w:val="20"/>
          <w:shd w:val="clear" w:color="auto" w:fill="FFFFFF"/>
        </w:rPr>
        <w:t>Rahanitriniaina</w:t>
      </w:r>
      <w:proofErr w:type="spellEnd"/>
      <w:r>
        <w:rPr>
          <w:rFonts w:eastAsia="Segoe UI"/>
          <w:sz w:val="20"/>
          <w:szCs w:val="20"/>
          <w:shd w:val="clear" w:color="auto" w:fill="FFFFFF"/>
        </w:rPr>
        <w:t xml:space="preserve"> Nadia Marie </w:t>
      </w:r>
      <w:proofErr w:type="spellStart"/>
      <w:r>
        <w:rPr>
          <w:rFonts w:eastAsia="Segoe UI"/>
          <w:sz w:val="20"/>
          <w:szCs w:val="20"/>
          <w:shd w:val="clear" w:color="auto" w:fill="FFFFFF"/>
        </w:rPr>
        <w:t>Philibertine</w:t>
      </w:r>
      <w:proofErr w:type="spellEnd"/>
    </w:p>
    <w:p w:rsidR="005F20FC" w:rsidRDefault="00191971">
      <w:pPr>
        <w:pStyle w:val="NormalWeb"/>
        <w:shd w:val="clear" w:color="auto" w:fill="FFFFFF"/>
        <w:spacing w:before="0" w:beforeAutospacing="0" w:after="0" w:afterAutospacing="0"/>
        <w:jc w:val="both"/>
        <w:rPr>
          <w:rFonts w:eastAsia="Segoe UI"/>
          <w:sz w:val="20"/>
          <w:szCs w:val="20"/>
          <w:shd w:val="clear" w:color="auto" w:fill="FFFFFF"/>
        </w:rPr>
      </w:pPr>
      <w:r>
        <w:rPr>
          <w:rFonts w:eastAsia="Segoe UI"/>
          <w:sz w:val="20"/>
          <w:szCs w:val="20"/>
          <w:shd w:val="clear" w:color="auto" w:fill="FFFFFF"/>
        </w:rPr>
        <w:t xml:space="preserve">Service de Réanimation Chirurgicale, CHU Joseph </w:t>
      </w:r>
      <w:proofErr w:type="spellStart"/>
      <w:r>
        <w:rPr>
          <w:rFonts w:eastAsia="Segoe UI"/>
          <w:sz w:val="20"/>
          <w:szCs w:val="20"/>
          <w:shd w:val="clear" w:color="auto" w:fill="FFFFFF"/>
        </w:rPr>
        <w:t>Ravoahangy</w:t>
      </w:r>
      <w:proofErr w:type="spellEnd"/>
      <w:r>
        <w:rPr>
          <w:rFonts w:eastAsia="Segoe UI"/>
          <w:sz w:val="20"/>
          <w:szCs w:val="20"/>
          <w:shd w:val="clear" w:color="auto" w:fill="FFFFFF"/>
        </w:rPr>
        <w:t xml:space="preserve"> </w:t>
      </w:r>
      <w:proofErr w:type="spellStart"/>
      <w:r>
        <w:rPr>
          <w:rFonts w:eastAsia="Segoe UI"/>
          <w:sz w:val="20"/>
          <w:szCs w:val="20"/>
          <w:shd w:val="clear" w:color="auto" w:fill="FFFFFF"/>
        </w:rPr>
        <w:t>Andrianavalona</w:t>
      </w:r>
      <w:proofErr w:type="spellEnd"/>
      <w:r>
        <w:rPr>
          <w:rFonts w:eastAsia="Segoe UI"/>
          <w:sz w:val="20"/>
          <w:szCs w:val="20"/>
          <w:shd w:val="clear" w:color="auto" w:fill="FFFFFF"/>
        </w:rPr>
        <w:t>, Antananarivo, Madagascar</w:t>
      </w:r>
    </w:p>
    <w:p w:rsidR="005F20FC" w:rsidRDefault="00191971">
      <w:pPr>
        <w:pStyle w:val="NormalWeb"/>
        <w:shd w:val="clear" w:color="auto" w:fill="FFFFFF"/>
        <w:spacing w:before="0" w:beforeAutospacing="0" w:after="0" w:afterAutospacing="0"/>
        <w:jc w:val="both"/>
        <w:rPr>
          <w:rFonts w:eastAsia="Segoe UI"/>
          <w:sz w:val="20"/>
          <w:szCs w:val="20"/>
          <w:shd w:val="clear" w:color="auto" w:fill="FFFFFF"/>
        </w:rPr>
      </w:pPr>
      <w:r>
        <w:rPr>
          <w:rFonts w:eastAsia="Segoe UI"/>
          <w:sz w:val="20"/>
          <w:szCs w:val="20"/>
          <w:shd w:val="clear" w:color="auto" w:fill="FFFFFF"/>
        </w:rPr>
        <w:t>Tel</w:t>
      </w:r>
      <w:proofErr w:type="gramStart"/>
      <w:r>
        <w:rPr>
          <w:rFonts w:eastAsia="Segoe UI"/>
          <w:sz w:val="20"/>
          <w:szCs w:val="20"/>
          <w:shd w:val="clear" w:color="auto" w:fill="FFFFFF"/>
        </w:rPr>
        <w:t xml:space="preserve"> :+</w:t>
      </w:r>
      <w:proofErr w:type="gramEnd"/>
      <w:r>
        <w:rPr>
          <w:rFonts w:eastAsia="Segoe UI"/>
          <w:sz w:val="20"/>
          <w:szCs w:val="20"/>
          <w:shd w:val="clear" w:color="auto" w:fill="FFFFFF"/>
        </w:rPr>
        <w:t>261349834491</w:t>
      </w:r>
    </w:p>
    <w:p w:rsidR="005F20FC" w:rsidRDefault="00191971">
      <w:pPr>
        <w:pStyle w:val="NormalWeb"/>
        <w:shd w:val="clear" w:color="auto" w:fill="FFFFFF"/>
        <w:spacing w:before="0" w:beforeAutospacing="0" w:after="0" w:afterAutospacing="0"/>
        <w:jc w:val="both"/>
        <w:rPr>
          <w:rFonts w:eastAsia="Segoe UI"/>
          <w:sz w:val="20"/>
          <w:szCs w:val="20"/>
          <w:shd w:val="clear" w:color="auto" w:fill="FFFFFF"/>
        </w:rPr>
      </w:pPr>
      <w:r>
        <w:rPr>
          <w:rFonts w:eastAsia="Segoe UI"/>
          <w:sz w:val="20"/>
          <w:szCs w:val="20"/>
          <w:shd w:val="clear" w:color="auto" w:fill="FFFFFF"/>
        </w:rPr>
        <w:t xml:space="preserve">Mail : </w:t>
      </w:r>
      <w:hyperlink r:id="rId9" w:history="1">
        <w:r>
          <w:rPr>
            <w:rStyle w:val="Lienhypertexte"/>
            <w:rFonts w:eastAsia="Segoe UI"/>
            <w:color w:val="auto"/>
            <w:sz w:val="20"/>
            <w:szCs w:val="20"/>
            <w:shd w:val="clear" w:color="auto" w:fill="FFFFFF"/>
          </w:rPr>
          <w:t>rahanitranadia@gmail.com</w:t>
        </w:r>
      </w:hyperlink>
    </w:p>
    <w:p w:rsidR="005F20FC" w:rsidRDefault="005F20FC">
      <w:pPr>
        <w:spacing w:after="0" w:line="240" w:lineRule="auto"/>
        <w:ind w:left="100" w:hangingChars="50" w:hanging="100"/>
        <w:jc w:val="both"/>
        <w:rPr>
          <w:rFonts w:ascii="Times New Roman" w:hAnsi="Times New Roman" w:cs="Times New Roman"/>
          <w:b/>
          <w:bCs/>
          <w:sz w:val="20"/>
          <w:szCs w:val="20"/>
          <w:vertAlign w:val="superscript"/>
        </w:rPr>
      </w:pPr>
    </w:p>
    <w:p w:rsidR="005F20FC" w:rsidRDefault="00511C4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lang w:val="en-US"/>
        </w:rPr>
        <w:pict>
          <v:shapetype id="_x0000_t32" coordsize="21600,21600" o:spt="32" o:oned="t" path="m,l21600,21600e" filled="f">
            <v:path arrowok="t" fillok="f" o:connecttype="none"/>
            <o:lock v:ext="edit" shapetype="t"/>
          </v:shapetype>
          <v:shape id="_x0000_s1027" type="#_x0000_t32" style="position:absolute;left:0;text-align:left;margin-left:69.55pt;margin-top:8.4pt;width:387pt;height:0;z-index:251665408" o:connectortype="straight" strokecolor="blue" strokeweight="1.5pt"/>
        </w:pict>
      </w:r>
      <w:r w:rsidR="00191971">
        <w:rPr>
          <w:rFonts w:ascii="Times New Roman" w:hAnsi="Times New Roman" w:cs="Times New Roman"/>
          <w:b/>
          <w:sz w:val="20"/>
          <w:szCs w:val="20"/>
        </w:rPr>
        <w:t>Résumé</w:t>
      </w:r>
    </w:p>
    <w:p w:rsidR="005F20FC" w:rsidRDefault="00191971">
      <w:pPr>
        <w:pStyle w:val="NormalWeb"/>
        <w:shd w:val="clear" w:color="auto" w:fill="FFFFFF"/>
        <w:spacing w:before="0" w:beforeAutospacing="0" w:after="0" w:afterAutospacing="0"/>
        <w:jc w:val="both"/>
        <w:rPr>
          <w:rFonts w:eastAsia="Segoe UI"/>
          <w:sz w:val="20"/>
          <w:szCs w:val="20"/>
          <w:shd w:val="clear" w:color="auto" w:fill="FFFFFF"/>
        </w:rPr>
      </w:pPr>
      <w:r>
        <w:rPr>
          <w:rStyle w:val="lev"/>
          <w:rFonts w:eastAsia="Segoe UI"/>
          <w:sz w:val="20"/>
          <w:szCs w:val="20"/>
          <w:shd w:val="clear" w:color="auto" w:fill="FFFFFF"/>
        </w:rPr>
        <w:t>Introduction :</w:t>
      </w:r>
      <w:r>
        <w:rPr>
          <w:rFonts w:eastAsia="Segoe UI"/>
          <w:sz w:val="20"/>
          <w:szCs w:val="20"/>
          <w:shd w:val="clear" w:color="auto" w:fill="FFFFFF"/>
        </w:rPr>
        <w:t xml:space="preserve"> Le choc septique nosocomial est une complication redoutable chez les patients </w:t>
      </w:r>
      <w:proofErr w:type="spellStart"/>
      <w:r>
        <w:rPr>
          <w:rFonts w:eastAsia="Segoe UI"/>
          <w:sz w:val="20"/>
          <w:szCs w:val="20"/>
          <w:shd w:val="clear" w:color="auto" w:fill="FFFFFF"/>
        </w:rPr>
        <w:t>cérébrolésés</w:t>
      </w:r>
      <w:proofErr w:type="spellEnd"/>
      <w:r>
        <w:rPr>
          <w:rFonts w:eastAsia="Segoe UI"/>
          <w:sz w:val="20"/>
          <w:szCs w:val="20"/>
          <w:shd w:val="clear" w:color="auto" w:fill="FFFFFF"/>
        </w:rPr>
        <w:t xml:space="preserve">, associée à une mortalité élevée. Les données sur son épidémiologie et ses facteurs pronostiques dans les pays à ressources limitées sont </w:t>
      </w:r>
      <w:proofErr w:type="spellStart"/>
      <w:r>
        <w:rPr>
          <w:rFonts w:eastAsia="Segoe UI"/>
          <w:sz w:val="20"/>
          <w:szCs w:val="20"/>
          <w:shd w:val="clear" w:color="auto" w:fill="FFFFFF"/>
        </w:rPr>
        <w:t>rares.</w:t>
      </w:r>
      <w:r>
        <w:rPr>
          <w:rStyle w:val="lev"/>
          <w:rFonts w:eastAsia="Segoe UI"/>
          <w:sz w:val="20"/>
          <w:szCs w:val="20"/>
          <w:shd w:val="clear" w:color="auto" w:fill="FFFFFF"/>
        </w:rPr>
        <w:t>Objectif</w:t>
      </w:r>
      <w:proofErr w:type="spellEnd"/>
      <w:r>
        <w:rPr>
          <w:rStyle w:val="lev"/>
          <w:rFonts w:eastAsia="Segoe UI"/>
          <w:sz w:val="20"/>
          <w:szCs w:val="20"/>
          <w:shd w:val="clear" w:color="auto" w:fill="FFFFFF"/>
        </w:rPr>
        <w:t xml:space="preserve"> :</w:t>
      </w:r>
      <w:r>
        <w:rPr>
          <w:rFonts w:eastAsia="Segoe UI"/>
          <w:sz w:val="20"/>
          <w:szCs w:val="20"/>
          <w:shd w:val="clear" w:color="auto" w:fill="FFFFFF"/>
        </w:rPr>
        <w:t xml:space="preserve"> Décrire les caractéristiques évolutives et la prise en charge du choc septique nosocomial chez les patients </w:t>
      </w:r>
      <w:proofErr w:type="spellStart"/>
      <w:r>
        <w:rPr>
          <w:rFonts w:eastAsia="Segoe UI"/>
          <w:sz w:val="20"/>
          <w:szCs w:val="20"/>
          <w:shd w:val="clear" w:color="auto" w:fill="FFFFFF"/>
        </w:rPr>
        <w:t>cérébrolésés</w:t>
      </w:r>
      <w:proofErr w:type="spellEnd"/>
      <w:r>
        <w:rPr>
          <w:rFonts w:eastAsia="Segoe UI"/>
          <w:sz w:val="20"/>
          <w:szCs w:val="20"/>
          <w:shd w:val="clear" w:color="auto" w:fill="FFFFFF"/>
        </w:rPr>
        <w:t xml:space="preserve"> et identifier les facteurs associés à la </w:t>
      </w:r>
      <w:proofErr w:type="spellStart"/>
      <w:r>
        <w:rPr>
          <w:rFonts w:eastAsia="Segoe UI"/>
          <w:sz w:val="20"/>
          <w:szCs w:val="20"/>
          <w:shd w:val="clear" w:color="auto" w:fill="FFFFFF"/>
        </w:rPr>
        <w:t>mortalité.</w:t>
      </w:r>
      <w:r>
        <w:rPr>
          <w:rStyle w:val="lev"/>
          <w:rFonts w:eastAsia="Segoe UI"/>
          <w:sz w:val="20"/>
          <w:szCs w:val="20"/>
          <w:shd w:val="clear" w:color="auto" w:fill="FFFFFF"/>
        </w:rPr>
        <w:t>Méthodes</w:t>
      </w:r>
      <w:proofErr w:type="spellEnd"/>
      <w:r>
        <w:rPr>
          <w:rStyle w:val="lev"/>
          <w:rFonts w:eastAsia="Segoe UI"/>
          <w:sz w:val="20"/>
          <w:szCs w:val="20"/>
          <w:shd w:val="clear" w:color="auto" w:fill="FFFFFF"/>
        </w:rPr>
        <w:t xml:space="preserve"> :</w:t>
      </w:r>
      <w:r>
        <w:rPr>
          <w:rFonts w:eastAsia="Segoe UI"/>
          <w:sz w:val="20"/>
          <w:szCs w:val="20"/>
          <w:shd w:val="clear" w:color="auto" w:fill="FFFFFF"/>
        </w:rPr>
        <w:t xml:space="preserve"> Une étude rétrospective, </w:t>
      </w:r>
      <w:proofErr w:type="spellStart"/>
      <w:r>
        <w:rPr>
          <w:rFonts w:eastAsia="Segoe UI"/>
          <w:sz w:val="20"/>
          <w:szCs w:val="20"/>
          <w:shd w:val="clear" w:color="auto" w:fill="FFFFFF"/>
        </w:rPr>
        <w:t>monocentrique</w:t>
      </w:r>
      <w:proofErr w:type="spellEnd"/>
      <w:r>
        <w:rPr>
          <w:rFonts w:eastAsia="Segoe UI"/>
          <w:sz w:val="20"/>
          <w:szCs w:val="20"/>
          <w:shd w:val="clear" w:color="auto" w:fill="FFFFFF"/>
        </w:rPr>
        <w:t xml:space="preserve">, descriptive et analytique incluant tous les patients </w:t>
      </w:r>
      <w:proofErr w:type="spellStart"/>
      <w:r>
        <w:rPr>
          <w:rFonts w:eastAsia="Segoe UI"/>
          <w:sz w:val="20"/>
          <w:szCs w:val="20"/>
          <w:shd w:val="clear" w:color="auto" w:fill="FFFFFF"/>
        </w:rPr>
        <w:t>cérébrolésés</w:t>
      </w:r>
      <w:proofErr w:type="spellEnd"/>
      <w:r>
        <w:rPr>
          <w:rFonts w:eastAsia="Segoe UI"/>
          <w:sz w:val="20"/>
          <w:szCs w:val="20"/>
          <w:shd w:val="clear" w:color="auto" w:fill="FFFFFF"/>
        </w:rPr>
        <w:t xml:space="preserve"> (lésion cérébrale aiguë) admis en réanimation chirurgicale sur 28 mois (Janvier 2021 - Août 2023) et ayant développé un choc septique a été réalisé. Les données démographiques, cliniques, microbiologiques, thérapeutiques et évolutives ont été analysées. Les facteurs associés au décès ont été identifiés par des tests </w:t>
      </w:r>
      <w:r>
        <w:rPr>
          <w:sz w:val="20"/>
          <w:szCs w:val="20"/>
        </w:rPr>
        <w:t>de Fisher Exact et de Mann Whitney. Le seuil de signification a été fixé à 0,05 (p ≤ 0,05).</w:t>
      </w:r>
    </w:p>
    <w:p w:rsidR="005F20FC" w:rsidRDefault="00191971">
      <w:pPr>
        <w:pStyle w:val="NormalWeb"/>
        <w:shd w:val="clear" w:color="auto" w:fill="FFFFFF"/>
        <w:spacing w:before="0" w:beforeAutospacing="0" w:after="0" w:afterAutospacing="0"/>
        <w:jc w:val="both"/>
        <w:rPr>
          <w:rFonts w:eastAsia="Segoe UI"/>
          <w:sz w:val="20"/>
          <w:szCs w:val="20"/>
        </w:rPr>
      </w:pPr>
      <w:r>
        <w:rPr>
          <w:rFonts w:eastAsia="Segoe UI"/>
          <w:sz w:val="20"/>
          <w:szCs w:val="20"/>
          <w:shd w:val="clear" w:color="auto" w:fill="FFFFFF"/>
        </w:rPr>
        <w:t xml:space="preserve">. </w:t>
      </w:r>
      <w:r>
        <w:rPr>
          <w:rStyle w:val="lev"/>
          <w:rFonts w:eastAsia="Segoe UI"/>
          <w:sz w:val="20"/>
          <w:szCs w:val="20"/>
          <w:shd w:val="clear" w:color="auto" w:fill="FFFFFF"/>
        </w:rPr>
        <w:t>Résultats :</w:t>
      </w:r>
      <w:r>
        <w:rPr>
          <w:rFonts w:eastAsia="Segoe UI"/>
          <w:sz w:val="20"/>
          <w:szCs w:val="20"/>
          <w:shd w:val="clear" w:color="auto" w:fill="FFFFFF"/>
        </w:rPr>
        <w:t xml:space="preserve"> Parmi 1155 patients </w:t>
      </w:r>
      <w:proofErr w:type="spellStart"/>
      <w:r>
        <w:rPr>
          <w:rFonts w:eastAsia="Segoe UI"/>
          <w:sz w:val="20"/>
          <w:szCs w:val="20"/>
          <w:shd w:val="clear" w:color="auto" w:fill="FFFFFF"/>
        </w:rPr>
        <w:t>cérébrolésés</w:t>
      </w:r>
      <w:proofErr w:type="spellEnd"/>
      <w:r>
        <w:rPr>
          <w:rFonts w:eastAsia="Segoe UI"/>
          <w:sz w:val="20"/>
          <w:szCs w:val="20"/>
          <w:shd w:val="clear" w:color="auto" w:fill="FFFFFF"/>
        </w:rPr>
        <w:t xml:space="preserve"> admis, 55 (4,7%) ont développé un choc septique nosocomial et ont été inclus. L'âge médian était de 53 [18-78] ans, avec une prédominance masculine (72,7%). Les motifs principaux étaient l'accident vasculaire cérébral hémorragique (40%) et l'hématome sous-dural aigu post-traumatique (23,6%). Le choc septique survenait après un délai médian de 12 [1-47] jours. Le foyer infectieux était principalement pulmonaire (69,1%). Les germes les plus fréquents étaient </w:t>
      </w:r>
      <w:r>
        <w:rPr>
          <w:rStyle w:val="Accentuation"/>
          <w:rFonts w:eastAsia="Segoe UI"/>
          <w:sz w:val="20"/>
          <w:szCs w:val="20"/>
          <w:shd w:val="clear" w:color="auto" w:fill="FFFFFF"/>
        </w:rPr>
        <w:t xml:space="preserve">Pseudomonas </w:t>
      </w:r>
      <w:proofErr w:type="spellStart"/>
      <w:r>
        <w:rPr>
          <w:rStyle w:val="Accentuation"/>
          <w:rFonts w:eastAsia="Segoe UI"/>
          <w:sz w:val="20"/>
          <w:szCs w:val="20"/>
          <w:shd w:val="clear" w:color="auto" w:fill="FFFFFF"/>
        </w:rPr>
        <w:t>aeruginosa</w:t>
      </w:r>
      <w:proofErr w:type="spellEnd"/>
      <w:r>
        <w:rPr>
          <w:rFonts w:eastAsia="Segoe UI"/>
          <w:sz w:val="20"/>
          <w:szCs w:val="20"/>
          <w:shd w:val="clear" w:color="auto" w:fill="FFFFFF"/>
        </w:rPr>
        <w:t xml:space="preserve"> (20% des examens </w:t>
      </w:r>
      <w:proofErr w:type="spellStart"/>
      <w:r>
        <w:rPr>
          <w:rFonts w:eastAsia="Segoe UI"/>
          <w:sz w:val="20"/>
          <w:szCs w:val="20"/>
          <w:shd w:val="clear" w:color="auto" w:fill="FFFFFF"/>
        </w:rPr>
        <w:t>cyto-bactériologiques</w:t>
      </w:r>
      <w:proofErr w:type="spellEnd"/>
      <w:r>
        <w:rPr>
          <w:rFonts w:eastAsia="Segoe UI"/>
          <w:sz w:val="20"/>
          <w:szCs w:val="20"/>
          <w:shd w:val="clear" w:color="auto" w:fill="FFFFFF"/>
        </w:rPr>
        <w:t xml:space="preserve"> des crachats et </w:t>
      </w:r>
      <w:proofErr w:type="spellStart"/>
      <w:r>
        <w:rPr>
          <w:rStyle w:val="Accentuation"/>
          <w:rFonts w:eastAsia="Segoe UI"/>
          <w:sz w:val="20"/>
          <w:szCs w:val="20"/>
          <w:shd w:val="clear" w:color="auto" w:fill="FFFFFF"/>
        </w:rPr>
        <w:t>Enterobacter</w:t>
      </w:r>
      <w:proofErr w:type="spellEnd"/>
      <w:r>
        <w:rPr>
          <w:rStyle w:val="Accentuation"/>
          <w:rFonts w:eastAsia="Segoe UI"/>
          <w:sz w:val="20"/>
          <w:szCs w:val="20"/>
          <w:shd w:val="clear" w:color="auto" w:fill="FFFFFF"/>
        </w:rPr>
        <w:t>/</w:t>
      </w:r>
      <w:proofErr w:type="spellStart"/>
      <w:r>
        <w:rPr>
          <w:rStyle w:val="Accentuation"/>
          <w:rFonts w:eastAsia="Segoe UI"/>
          <w:sz w:val="20"/>
          <w:szCs w:val="20"/>
          <w:shd w:val="clear" w:color="auto" w:fill="FFFFFF"/>
        </w:rPr>
        <w:t>Acinetobacter</w:t>
      </w:r>
      <w:proofErr w:type="spellEnd"/>
      <w:r>
        <w:rPr>
          <w:rFonts w:eastAsia="Segoe UI"/>
          <w:i/>
          <w:iCs/>
          <w:sz w:val="20"/>
          <w:szCs w:val="20"/>
          <w:shd w:val="clear" w:color="auto" w:fill="FFFFFF"/>
        </w:rPr>
        <w:t> </w:t>
      </w:r>
      <w:proofErr w:type="spellStart"/>
      <w:r>
        <w:rPr>
          <w:rFonts w:eastAsia="Segoe UI"/>
          <w:i/>
          <w:iCs/>
          <w:sz w:val="20"/>
          <w:szCs w:val="20"/>
          <w:shd w:val="clear" w:color="auto" w:fill="FFFFFF"/>
        </w:rPr>
        <w:t>sp</w:t>
      </w:r>
      <w:proofErr w:type="spellEnd"/>
      <w:r>
        <w:rPr>
          <w:rFonts w:eastAsia="Segoe UI"/>
          <w:sz w:val="20"/>
          <w:szCs w:val="20"/>
          <w:shd w:val="clear" w:color="auto" w:fill="FFFFFF"/>
        </w:rPr>
        <w:t xml:space="preserve">. </w:t>
      </w:r>
      <w:proofErr w:type="gramStart"/>
      <w:r>
        <w:rPr>
          <w:rFonts w:eastAsia="Segoe UI"/>
          <w:sz w:val="20"/>
          <w:szCs w:val="20"/>
          <w:shd w:val="clear" w:color="auto" w:fill="FFFFFF"/>
        </w:rPr>
        <w:t>après</w:t>
      </w:r>
      <w:proofErr w:type="gramEnd"/>
      <w:r>
        <w:rPr>
          <w:rFonts w:eastAsia="Segoe UI"/>
          <w:sz w:val="20"/>
          <w:szCs w:val="20"/>
          <w:shd w:val="clear" w:color="auto" w:fill="FFFFFF"/>
        </w:rPr>
        <w:t xml:space="preserve"> hémoculture. La mortalité globale était de 71% (39/55). En analyse </w:t>
      </w:r>
      <w:proofErr w:type="spellStart"/>
      <w:r>
        <w:rPr>
          <w:rFonts w:eastAsia="Segoe UI"/>
          <w:sz w:val="20"/>
          <w:szCs w:val="20"/>
          <w:shd w:val="clear" w:color="auto" w:fill="FFFFFF"/>
        </w:rPr>
        <w:t>univariée</w:t>
      </w:r>
      <w:proofErr w:type="spellEnd"/>
      <w:r>
        <w:rPr>
          <w:rFonts w:eastAsia="Segoe UI"/>
          <w:sz w:val="20"/>
          <w:szCs w:val="20"/>
          <w:shd w:val="clear" w:color="auto" w:fill="FFFFFF"/>
        </w:rPr>
        <w:t xml:space="preserve">, le décès était associé à un âge plus élevé (53 </w:t>
      </w:r>
      <w:r>
        <w:rPr>
          <w:rFonts w:eastAsia="Segoe UI"/>
          <w:i/>
          <w:iCs/>
          <w:sz w:val="20"/>
          <w:szCs w:val="20"/>
          <w:shd w:val="clear" w:color="auto" w:fill="FFFFFF"/>
        </w:rPr>
        <w:t>vs</w:t>
      </w:r>
      <w:r>
        <w:rPr>
          <w:rFonts w:eastAsia="Segoe UI"/>
          <w:sz w:val="20"/>
          <w:szCs w:val="20"/>
          <w:shd w:val="clear" w:color="auto" w:fill="FFFFFF"/>
        </w:rPr>
        <w:t xml:space="preserve"> 38,5 ans, p=0,036), une SpO</w:t>
      </w:r>
      <w:r>
        <w:rPr>
          <w:rFonts w:eastAsia="Segoe UI"/>
          <w:sz w:val="20"/>
          <w:szCs w:val="20"/>
          <w:shd w:val="clear" w:color="auto" w:fill="FFFFFF"/>
          <w:vertAlign w:val="subscript"/>
        </w:rPr>
        <w:t>2</w:t>
      </w:r>
      <w:r>
        <w:rPr>
          <w:rFonts w:eastAsia="Segoe UI"/>
          <w:sz w:val="20"/>
          <w:szCs w:val="20"/>
          <w:shd w:val="clear" w:color="auto" w:fill="FFFFFF"/>
        </w:rPr>
        <w:t xml:space="preserve"> plus basse avant le choc (96% </w:t>
      </w:r>
      <w:r>
        <w:rPr>
          <w:rFonts w:eastAsia="Segoe UI"/>
          <w:i/>
          <w:iCs/>
          <w:sz w:val="20"/>
          <w:szCs w:val="20"/>
          <w:shd w:val="clear" w:color="auto" w:fill="FFFFFF"/>
        </w:rPr>
        <w:t>vs</w:t>
      </w:r>
      <w:r>
        <w:rPr>
          <w:rFonts w:eastAsia="Segoe UI"/>
          <w:sz w:val="20"/>
          <w:szCs w:val="20"/>
          <w:shd w:val="clear" w:color="auto" w:fill="FFFFFF"/>
        </w:rPr>
        <w:t xml:space="preserve"> 97%, p=0,013), un score à l’échelle de Glasgow plus bas pendant le choc (7 </w:t>
      </w:r>
      <w:r>
        <w:rPr>
          <w:rFonts w:eastAsia="Segoe UI"/>
          <w:i/>
          <w:iCs/>
          <w:sz w:val="20"/>
          <w:szCs w:val="20"/>
          <w:shd w:val="clear" w:color="auto" w:fill="FFFFFF"/>
        </w:rPr>
        <w:t>vs</w:t>
      </w:r>
      <w:r>
        <w:rPr>
          <w:rFonts w:eastAsia="Segoe UI"/>
          <w:sz w:val="20"/>
          <w:szCs w:val="20"/>
          <w:shd w:val="clear" w:color="auto" w:fill="FFFFFF"/>
        </w:rPr>
        <w:t xml:space="preserve"> 10, p=0,025), la présence d'une anomalie pupillaire (p=0,026), le recours à la ventilation mécanique (p=0,004</w:t>
      </w:r>
      <w:proofErr w:type="gramStart"/>
      <w:r>
        <w:rPr>
          <w:rFonts w:eastAsia="Segoe UI"/>
          <w:sz w:val="20"/>
          <w:szCs w:val="20"/>
          <w:shd w:val="clear" w:color="auto" w:fill="FFFFFF"/>
        </w:rPr>
        <w:t>).</w:t>
      </w:r>
      <w:r>
        <w:rPr>
          <w:rStyle w:val="lev"/>
          <w:rFonts w:eastAsia="Segoe UI"/>
          <w:sz w:val="20"/>
          <w:szCs w:val="20"/>
          <w:shd w:val="clear" w:color="auto" w:fill="FFFFFF"/>
        </w:rPr>
        <w:t>Conclusion</w:t>
      </w:r>
      <w:proofErr w:type="gramEnd"/>
      <w:r>
        <w:rPr>
          <w:rStyle w:val="lev"/>
          <w:rFonts w:eastAsia="Segoe UI"/>
          <w:sz w:val="20"/>
          <w:szCs w:val="20"/>
          <w:shd w:val="clear" w:color="auto" w:fill="FFFFFF"/>
        </w:rPr>
        <w:t xml:space="preserve"> :</w:t>
      </w:r>
      <w:r>
        <w:rPr>
          <w:rFonts w:eastAsia="Segoe UI"/>
          <w:sz w:val="20"/>
          <w:szCs w:val="20"/>
          <w:shd w:val="clear" w:color="auto" w:fill="FFFFFF"/>
        </w:rPr>
        <w:t xml:space="preserve"> Le choc septique chez les </w:t>
      </w:r>
      <w:proofErr w:type="spellStart"/>
      <w:r>
        <w:rPr>
          <w:rFonts w:eastAsia="Segoe UI"/>
          <w:sz w:val="20"/>
          <w:szCs w:val="20"/>
          <w:shd w:val="clear" w:color="auto" w:fill="FFFFFF"/>
        </w:rPr>
        <w:t>cérébrolésés</w:t>
      </w:r>
      <w:proofErr w:type="spellEnd"/>
      <w:r>
        <w:rPr>
          <w:rFonts w:eastAsia="Segoe UI"/>
          <w:sz w:val="20"/>
          <w:szCs w:val="20"/>
          <w:shd w:val="clear" w:color="auto" w:fill="FFFFFF"/>
        </w:rPr>
        <w:t xml:space="preserve"> est une complication tardive, principalement d'origine pulmonaire, et associée à une mortalité extrêmement élevée. Les facteurs de mauvais pronostic reflètent la gravité de l'état neurologique sous-jacent et de l'insuffisance respiratoire. La prévention des infections nosocomiales respiratoires et la gestion optimisée de l'oxygénation et de la perfusion cérébrale sont des axes prioritaires.</w:t>
      </w:r>
    </w:p>
    <w:p w:rsidR="005F20FC" w:rsidRDefault="00191971">
      <w:pPr>
        <w:pStyle w:val="NormalWeb"/>
        <w:shd w:val="clear" w:color="auto" w:fill="FFFFFF"/>
        <w:spacing w:before="0" w:beforeAutospacing="0" w:after="0" w:afterAutospacing="0"/>
        <w:jc w:val="both"/>
        <w:rPr>
          <w:rFonts w:eastAsia="Segoe UI"/>
          <w:sz w:val="20"/>
          <w:szCs w:val="20"/>
          <w:shd w:val="clear" w:color="auto" w:fill="FFFFFF"/>
        </w:rPr>
      </w:pPr>
      <w:r>
        <w:rPr>
          <w:rStyle w:val="lev"/>
          <w:rFonts w:eastAsia="Segoe UI"/>
          <w:sz w:val="20"/>
          <w:szCs w:val="20"/>
          <w:shd w:val="clear" w:color="auto" w:fill="FFFFFF"/>
        </w:rPr>
        <w:t>Mots-clés :</w:t>
      </w:r>
      <w:r>
        <w:rPr>
          <w:rFonts w:eastAsia="Segoe UI"/>
          <w:sz w:val="20"/>
          <w:szCs w:val="20"/>
          <w:shd w:val="clear" w:color="auto" w:fill="FFFFFF"/>
        </w:rPr>
        <w:t> Choc septique ; Infection nosocomiale ; Lésion cérébrale ; Mortalité ; Pneumonie.</w:t>
      </w:r>
    </w:p>
    <w:p w:rsidR="005F20FC" w:rsidRDefault="00191971">
      <w:pPr>
        <w:pStyle w:val="NormalWeb"/>
        <w:shd w:val="clear" w:color="auto" w:fill="FFFFFF"/>
        <w:spacing w:before="0" w:beforeAutospacing="0" w:after="0" w:afterAutospacing="0"/>
        <w:jc w:val="both"/>
        <w:rPr>
          <w:rFonts w:eastAsia="Segoe UI"/>
          <w:b/>
          <w:bCs/>
          <w:sz w:val="20"/>
          <w:szCs w:val="20"/>
          <w:shd w:val="clear" w:color="auto" w:fill="FFFFFF"/>
        </w:rPr>
      </w:pPr>
      <w:r>
        <w:rPr>
          <w:rFonts w:eastAsia="Segoe UI"/>
          <w:b/>
          <w:bCs/>
          <w:sz w:val="20"/>
          <w:szCs w:val="20"/>
          <w:shd w:val="clear" w:color="auto" w:fill="FFFFFF"/>
        </w:rPr>
        <w:t xml:space="preserve">Abstract </w:t>
      </w:r>
    </w:p>
    <w:p w:rsidR="005F20FC" w:rsidRDefault="00191971">
      <w:pPr>
        <w:pStyle w:val="NormalWeb"/>
        <w:shd w:val="clear" w:color="auto" w:fill="FFFFFF"/>
        <w:spacing w:before="0" w:beforeAutospacing="0" w:after="0" w:afterAutospacing="0"/>
        <w:jc w:val="center"/>
        <w:rPr>
          <w:rFonts w:eastAsia="Segoe UI"/>
          <w:sz w:val="20"/>
          <w:szCs w:val="20"/>
          <w:shd w:val="clear" w:color="auto" w:fill="FFFFFF"/>
          <w:lang w:val="en-US"/>
        </w:rPr>
      </w:pPr>
      <w:r>
        <w:rPr>
          <w:rFonts w:eastAsia="Segoe UI"/>
          <w:b/>
          <w:bCs/>
          <w:sz w:val="20"/>
          <w:szCs w:val="20"/>
          <w:shd w:val="clear" w:color="auto" w:fill="FFFFFF"/>
          <w:lang w:val="en-US"/>
        </w:rPr>
        <w:t>Introduction:</w:t>
      </w:r>
      <w:r>
        <w:rPr>
          <w:rFonts w:eastAsia="Segoe UI"/>
          <w:sz w:val="20"/>
          <w:szCs w:val="20"/>
          <w:shd w:val="clear" w:color="auto" w:fill="FFFFFF"/>
          <w:lang w:val="en-US"/>
        </w:rPr>
        <w:t xml:space="preserve"> Nosocomial septic shock is a serious complication in patients with brain injuries, associated with high mortality. Data on its epidemiology and prognostic factors in resource-limited countries are </w:t>
      </w:r>
      <w:proofErr w:type="spellStart"/>
      <w:r>
        <w:rPr>
          <w:rFonts w:eastAsia="Segoe UI"/>
          <w:sz w:val="20"/>
          <w:szCs w:val="20"/>
          <w:shd w:val="clear" w:color="auto" w:fill="FFFFFF"/>
          <w:lang w:val="en-US"/>
        </w:rPr>
        <w:t>scarce.</w:t>
      </w:r>
      <w:r>
        <w:rPr>
          <w:rFonts w:eastAsia="Segoe UI"/>
          <w:b/>
          <w:bCs/>
          <w:sz w:val="20"/>
          <w:szCs w:val="20"/>
          <w:shd w:val="clear" w:color="auto" w:fill="FFFFFF"/>
          <w:lang w:val="en-US"/>
        </w:rPr>
        <w:t>Objective</w:t>
      </w:r>
      <w:proofErr w:type="spellEnd"/>
      <w:r>
        <w:rPr>
          <w:rFonts w:eastAsia="Segoe UI"/>
          <w:b/>
          <w:bCs/>
          <w:sz w:val="20"/>
          <w:szCs w:val="20"/>
          <w:shd w:val="clear" w:color="auto" w:fill="FFFFFF"/>
          <w:lang w:val="en-US"/>
        </w:rPr>
        <w:t>:</w:t>
      </w:r>
      <w:r>
        <w:rPr>
          <w:rFonts w:eastAsia="Segoe UI"/>
          <w:sz w:val="20"/>
          <w:szCs w:val="20"/>
          <w:shd w:val="clear" w:color="auto" w:fill="FFFFFF"/>
          <w:lang w:val="en-US"/>
        </w:rPr>
        <w:t xml:space="preserve"> To describe the clinical course and management of nosocomial septic shock in patients with brain injuries and to identify factors associated with </w:t>
      </w:r>
      <w:proofErr w:type="spellStart"/>
      <w:r>
        <w:rPr>
          <w:rFonts w:eastAsia="Segoe UI"/>
          <w:sz w:val="20"/>
          <w:szCs w:val="20"/>
          <w:shd w:val="clear" w:color="auto" w:fill="FFFFFF"/>
          <w:lang w:val="en-US"/>
        </w:rPr>
        <w:t>mortality.</w:t>
      </w:r>
      <w:r>
        <w:rPr>
          <w:rFonts w:eastAsia="Segoe UI"/>
          <w:b/>
          <w:bCs/>
          <w:sz w:val="20"/>
          <w:szCs w:val="20"/>
          <w:shd w:val="clear" w:color="auto" w:fill="FFFFFF"/>
          <w:lang w:val="en-US"/>
        </w:rPr>
        <w:t>Methods</w:t>
      </w:r>
      <w:proofErr w:type="spellEnd"/>
      <w:r>
        <w:rPr>
          <w:rFonts w:eastAsia="Segoe UI"/>
          <w:sz w:val="20"/>
          <w:szCs w:val="20"/>
          <w:shd w:val="clear" w:color="auto" w:fill="FFFFFF"/>
          <w:lang w:val="en-US"/>
        </w:rPr>
        <w:t xml:space="preserve">: A retrospective, single-center, descriptive, and analytical study was conducted including all patients with brain injury (acute brain injury) admitted to the surgical intensive care unit over 28 months (January 2020 - August 2022) who developed septic shock. Demographic, clinical, microbiological, therapeutic, and evolutionary data were analyzed. Factors </w:t>
      </w:r>
      <w:bookmarkStart w:id="0" w:name="_GoBack"/>
      <w:bookmarkEnd w:id="0"/>
      <w:r>
        <w:rPr>
          <w:rFonts w:eastAsia="Segoe UI"/>
          <w:sz w:val="20"/>
          <w:szCs w:val="20"/>
          <w:shd w:val="clear" w:color="auto" w:fill="FFFFFF"/>
          <w:lang w:val="en-US"/>
        </w:rPr>
        <w:lastRenderedPageBreak/>
        <w:t>associated with death were identified using Fisher's Exact and Mann Whitney tests. The significance threshold was set at 0.05 (p ≤ 0.05</w:t>
      </w:r>
      <w:proofErr w:type="gramStart"/>
      <w:r>
        <w:rPr>
          <w:rFonts w:eastAsia="Segoe UI"/>
          <w:sz w:val="20"/>
          <w:szCs w:val="20"/>
          <w:shd w:val="clear" w:color="auto" w:fill="FFFFFF"/>
          <w:lang w:val="en-US"/>
        </w:rPr>
        <w:t>).</w:t>
      </w:r>
      <w:r>
        <w:rPr>
          <w:rFonts w:eastAsia="Segoe UI"/>
          <w:b/>
          <w:bCs/>
          <w:sz w:val="20"/>
          <w:szCs w:val="20"/>
          <w:shd w:val="clear" w:color="auto" w:fill="FFFFFF"/>
          <w:lang w:val="en-US"/>
        </w:rPr>
        <w:t>Results</w:t>
      </w:r>
      <w:proofErr w:type="gramEnd"/>
      <w:r>
        <w:rPr>
          <w:rFonts w:eastAsia="Segoe UI"/>
          <w:b/>
          <w:bCs/>
          <w:sz w:val="20"/>
          <w:szCs w:val="20"/>
          <w:shd w:val="clear" w:color="auto" w:fill="FFFFFF"/>
          <w:lang w:val="en-US"/>
        </w:rPr>
        <w:t>:</w:t>
      </w:r>
      <w:r>
        <w:rPr>
          <w:rFonts w:eastAsia="Segoe UI"/>
          <w:sz w:val="20"/>
          <w:szCs w:val="20"/>
          <w:shd w:val="clear" w:color="auto" w:fill="FFFFFF"/>
          <w:lang w:val="en-US"/>
        </w:rPr>
        <w:t xml:space="preserve"> Among 1,155 brain-injured patients admitted, 55 (4.7%) developed nosocomial septic shock and were included. The median age was 53 years [18-78], with a predominance of males (72.7%). The main causes were hemorrhagic stroke (40%) and acute post-traumatic subdural hematoma (23.6%). Shock occurred after a median delay of 12 days [1-47]. The primary site of infection was pulmonary (69.1%). The most common organisms were </w:t>
      </w:r>
      <w:r>
        <w:rPr>
          <w:rFonts w:eastAsia="Segoe UI"/>
          <w:i/>
          <w:iCs/>
          <w:sz w:val="20"/>
          <w:szCs w:val="20"/>
          <w:shd w:val="clear" w:color="auto" w:fill="FFFFFF"/>
          <w:lang w:val="en-US"/>
        </w:rPr>
        <w:t>Pseudomonas aeruginosa</w:t>
      </w:r>
      <w:r>
        <w:rPr>
          <w:rFonts w:eastAsia="Segoe UI"/>
          <w:sz w:val="20"/>
          <w:szCs w:val="20"/>
          <w:shd w:val="clear" w:color="auto" w:fill="FFFFFF"/>
          <w:lang w:val="en-US"/>
        </w:rPr>
        <w:t xml:space="preserve"> (20% of sputum microscopy, culture and sensitivity) and </w:t>
      </w:r>
      <w:proofErr w:type="spellStart"/>
      <w:r>
        <w:rPr>
          <w:rFonts w:eastAsia="Segoe UI"/>
          <w:i/>
          <w:iCs/>
          <w:sz w:val="20"/>
          <w:szCs w:val="20"/>
          <w:shd w:val="clear" w:color="auto" w:fill="FFFFFF"/>
          <w:lang w:val="en-US"/>
        </w:rPr>
        <w:t>Enterobacter</w:t>
      </w:r>
      <w:proofErr w:type="spellEnd"/>
      <w:r>
        <w:rPr>
          <w:rFonts w:eastAsia="Segoe UI"/>
          <w:i/>
          <w:iCs/>
          <w:sz w:val="20"/>
          <w:szCs w:val="20"/>
          <w:shd w:val="clear" w:color="auto" w:fill="FFFFFF"/>
          <w:lang w:val="en-US"/>
        </w:rPr>
        <w:t>/</w:t>
      </w:r>
      <w:proofErr w:type="spellStart"/>
      <w:r>
        <w:rPr>
          <w:rFonts w:eastAsia="Segoe UI"/>
          <w:i/>
          <w:iCs/>
          <w:sz w:val="20"/>
          <w:szCs w:val="20"/>
          <w:shd w:val="clear" w:color="auto" w:fill="FFFFFF"/>
          <w:lang w:val="en-US"/>
        </w:rPr>
        <w:t>Acinetobacter</w:t>
      </w:r>
      <w:proofErr w:type="spellEnd"/>
      <w:r>
        <w:rPr>
          <w:rFonts w:eastAsia="Segoe UI"/>
          <w:i/>
          <w:iCs/>
          <w:sz w:val="20"/>
          <w:szCs w:val="20"/>
          <w:shd w:val="clear" w:color="auto" w:fill="FFFFFF"/>
          <w:lang w:val="en-US"/>
        </w:rPr>
        <w:t xml:space="preserve"> sp.</w:t>
      </w:r>
      <w:r>
        <w:rPr>
          <w:rFonts w:eastAsia="Segoe UI"/>
          <w:sz w:val="20"/>
          <w:szCs w:val="20"/>
          <w:shd w:val="clear" w:color="auto" w:fill="FFFFFF"/>
          <w:lang w:val="en-US"/>
        </w:rPr>
        <w:t xml:space="preserve"> in blood cultures. Overall mortality was 71% (39/55). In univariate analysis, death was associated with older age (53 </w:t>
      </w:r>
      <w:r>
        <w:rPr>
          <w:rFonts w:eastAsia="Segoe UI"/>
          <w:i/>
          <w:iCs/>
          <w:sz w:val="20"/>
          <w:szCs w:val="20"/>
          <w:shd w:val="clear" w:color="auto" w:fill="FFFFFF"/>
          <w:lang w:val="en-US"/>
        </w:rPr>
        <w:t>vs</w:t>
      </w:r>
      <w:r>
        <w:rPr>
          <w:rFonts w:eastAsia="Segoe UI"/>
          <w:sz w:val="20"/>
          <w:szCs w:val="20"/>
          <w:shd w:val="clear" w:color="auto" w:fill="FFFFFF"/>
          <w:lang w:val="en-US"/>
        </w:rPr>
        <w:t>. 38.5 years, p=0.036), lower SpO</w:t>
      </w:r>
      <w:r>
        <w:rPr>
          <w:rFonts w:eastAsia="Segoe UI"/>
          <w:sz w:val="20"/>
          <w:szCs w:val="20"/>
          <w:shd w:val="clear" w:color="auto" w:fill="FFFFFF"/>
          <w:vertAlign w:val="subscript"/>
          <w:lang w:val="en-US"/>
        </w:rPr>
        <w:t>2</w:t>
      </w:r>
      <w:r>
        <w:rPr>
          <w:rFonts w:eastAsia="Segoe UI"/>
          <w:sz w:val="20"/>
          <w:szCs w:val="20"/>
          <w:shd w:val="clear" w:color="auto" w:fill="FFFFFF"/>
          <w:lang w:val="en-US"/>
        </w:rPr>
        <w:t xml:space="preserve"> before shock (96% </w:t>
      </w:r>
      <w:r>
        <w:rPr>
          <w:rFonts w:eastAsia="Segoe UI"/>
          <w:i/>
          <w:iCs/>
          <w:sz w:val="20"/>
          <w:szCs w:val="20"/>
          <w:shd w:val="clear" w:color="auto" w:fill="FFFFFF"/>
          <w:lang w:val="en-US"/>
        </w:rPr>
        <w:t>vs</w:t>
      </w:r>
      <w:r>
        <w:rPr>
          <w:rFonts w:eastAsia="Segoe UI"/>
          <w:sz w:val="20"/>
          <w:szCs w:val="20"/>
          <w:shd w:val="clear" w:color="auto" w:fill="FFFFFF"/>
          <w:lang w:val="en-US"/>
        </w:rPr>
        <w:t xml:space="preserve">. 97%, p=0.013), lower Glasgow score during shock (7 </w:t>
      </w:r>
      <w:r>
        <w:rPr>
          <w:rFonts w:eastAsia="Segoe UI"/>
          <w:i/>
          <w:iCs/>
          <w:sz w:val="20"/>
          <w:szCs w:val="20"/>
          <w:shd w:val="clear" w:color="auto" w:fill="FFFFFF"/>
          <w:lang w:val="en-US"/>
        </w:rPr>
        <w:t>vs</w:t>
      </w:r>
      <w:r>
        <w:rPr>
          <w:rFonts w:eastAsia="Segoe UI"/>
          <w:sz w:val="20"/>
          <w:szCs w:val="20"/>
          <w:shd w:val="clear" w:color="auto" w:fill="FFFFFF"/>
          <w:lang w:val="en-US"/>
        </w:rPr>
        <w:t>. 10, p=0.025), the presence of a pupillary abnormality (p=0.026), and the use of mechanical ventilation (p=0.004</w:t>
      </w:r>
      <w:proofErr w:type="gramStart"/>
      <w:r>
        <w:rPr>
          <w:rFonts w:eastAsia="Segoe UI"/>
          <w:sz w:val="20"/>
          <w:szCs w:val="20"/>
          <w:shd w:val="clear" w:color="auto" w:fill="FFFFFF"/>
          <w:lang w:val="en-US"/>
        </w:rPr>
        <w:t>).</w:t>
      </w:r>
      <w:r>
        <w:rPr>
          <w:rFonts w:eastAsia="Segoe UI"/>
          <w:b/>
          <w:bCs/>
          <w:sz w:val="20"/>
          <w:szCs w:val="20"/>
          <w:shd w:val="clear" w:color="auto" w:fill="FFFFFF"/>
          <w:lang w:val="en-US"/>
        </w:rPr>
        <w:t>Conclusion</w:t>
      </w:r>
      <w:proofErr w:type="gramEnd"/>
      <w:r>
        <w:rPr>
          <w:rFonts w:eastAsia="Segoe UI"/>
          <w:b/>
          <w:bCs/>
          <w:sz w:val="20"/>
          <w:szCs w:val="20"/>
          <w:shd w:val="clear" w:color="auto" w:fill="FFFFFF"/>
          <w:lang w:val="en-US"/>
        </w:rPr>
        <w:t>:</w:t>
      </w:r>
      <w:r>
        <w:rPr>
          <w:rFonts w:eastAsia="Segoe UI"/>
          <w:sz w:val="20"/>
          <w:szCs w:val="20"/>
          <w:shd w:val="clear" w:color="auto" w:fill="FFFFFF"/>
          <w:lang w:val="en-US"/>
        </w:rPr>
        <w:t xml:space="preserve"> Septic shock in brain-injured patients is a late complication, mainly of pulmonary origin, and is associated with extremely high mortality. Poor prognostic factors reflect the severity of the underlying neurological condition and respiratory failure. The prevention of nosocomial respiratory infections and optimized management of oxygenation and cerebral perfusion are priority areas.</w:t>
      </w:r>
    </w:p>
    <w:p w:rsidR="005F20FC" w:rsidRDefault="00191971">
      <w:pPr>
        <w:pStyle w:val="NormalWeb"/>
        <w:shd w:val="clear" w:color="auto" w:fill="FFFFFF"/>
        <w:spacing w:before="0" w:beforeAutospacing="0" w:after="0" w:afterAutospacing="0"/>
        <w:jc w:val="both"/>
        <w:rPr>
          <w:rFonts w:eastAsia="Segoe UI"/>
          <w:sz w:val="20"/>
          <w:szCs w:val="20"/>
          <w:shd w:val="clear" w:color="auto" w:fill="FFFFFF"/>
          <w:lang w:val="en-US"/>
        </w:rPr>
      </w:pPr>
      <w:r>
        <w:rPr>
          <w:rFonts w:eastAsia="Segoe UI"/>
          <w:b/>
          <w:bCs/>
          <w:sz w:val="20"/>
          <w:szCs w:val="20"/>
          <w:shd w:val="clear" w:color="auto" w:fill="FFFFFF"/>
          <w:lang w:val="en-US"/>
        </w:rPr>
        <w:t>Keywords:</w:t>
      </w:r>
      <w:r>
        <w:rPr>
          <w:rFonts w:eastAsia="Segoe UI"/>
          <w:sz w:val="20"/>
          <w:szCs w:val="20"/>
          <w:shd w:val="clear" w:color="auto" w:fill="FFFFFF"/>
          <w:lang w:val="en-US"/>
        </w:rPr>
        <w:t xml:space="preserve"> Brain injury; Mortality; Nosocomial infection; </w:t>
      </w:r>
      <w:proofErr w:type="gramStart"/>
      <w:r>
        <w:rPr>
          <w:rFonts w:eastAsia="Segoe UI"/>
          <w:sz w:val="20"/>
          <w:szCs w:val="20"/>
          <w:shd w:val="clear" w:color="auto" w:fill="FFFFFF"/>
          <w:lang w:val="en-US"/>
        </w:rPr>
        <w:t>Pneumonia ;</w:t>
      </w:r>
      <w:proofErr w:type="gramEnd"/>
      <w:r>
        <w:rPr>
          <w:rFonts w:eastAsia="Segoe UI"/>
          <w:sz w:val="20"/>
          <w:szCs w:val="20"/>
          <w:shd w:val="clear" w:color="auto" w:fill="FFFFFF"/>
          <w:lang w:val="en-US"/>
        </w:rPr>
        <w:t xml:space="preserve"> Septic shock.</w:t>
      </w:r>
    </w:p>
    <w:p w:rsidR="005F20FC" w:rsidRDefault="00511C4A">
      <w:pPr>
        <w:spacing w:after="0" w:line="240" w:lineRule="auto"/>
        <w:jc w:val="both"/>
        <w:rPr>
          <w:rFonts w:ascii="Times New Roman" w:hAnsi="Times New Roman" w:cs="Times New Roman"/>
          <w:b/>
          <w:sz w:val="20"/>
          <w:szCs w:val="20"/>
        </w:rPr>
      </w:pPr>
      <w:r>
        <w:rPr>
          <w:rFonts w:ascii="Times New Roman" w:hAnsi="Times New Roman" w:cs="Times New Roman"/>
          <w:b/>
          <w:color w:val="4F81BD" w:themeColor="accent1"/>
          <w:sz w:val="20"/>
          <w:szCs w:val="20"/>
        </w:rPr>
        <w:pict>
          <v:shape id="_x0000_s1028" type="#_x0000_t32" style="position:absolute;left:0;text-align:left;margin-left:69.55pt;margin-top:8.4pt;width:387pt;height:0;z-index:251660288" o:connectortype="straight" strokecolor="blue" strokeweight="1.5pt"/>
        </w:pict>
      </w:r>
      <w:r w:rsidR="00191971">
        <w:rPr>
          <w:rFonts w:ascii="Times New Roman" w:hAnsi="Times New Roman" w:cs="Times New Roman"/>
          <w:b/>
          <w:color w:val="4F81BD" w:themeColor="accent1"/>
          <w:sz w:val="20"/>
          <w:szCs w:val="20"/>
        </w:rPr>
        <w:t>Introduction</w:t>
      </w:r>
    </w:p>
    <w:p w:rsidR="005F20FC" w:rsidRDefault="00191971">
      <w:pPr>
        <w:jc w:val="both"/>
        <w:rPr>
          <w:rFonts w:ascii="Times New Roman" w:eastAsia="Segoe UI" w:hAnsi="Times New Roman" w:cs="Times New Roman"/>
          <w:sz w:val="20"/>
          <w:szCs w:val="20"/>
          <w:shd w:val="clear" w:color="auto" w:fill="FFFFFF"/>
        </w:rPr>
      </w:pPr>
      <w:r>
        <w:rPr>
          <w:rFonts w:ascii="Times New Roman" w:eastAsia="Segoe UI" w:hAnsi="Times New Roman" w:cs="Times New Roman"/>
          <w:sz w:val="20"/>
          <w:szCs w:val="20"/>
          <w:shd w:val="clear" w:color="auto" w:fill="FFFFFF"/>
        </w:rPr>
        <w:t xml:space="preserve">Le choc septique représente un tournant évolutif majeur chez les patients </w:t>
      </w:r>
      <w:proofErr w:type="spellStart"/>
      <w:r>
        <w:rPr>
          <w:rFonts w:ascii="Times New Roman" w:eastAsia="Segoe UI" w:hAnsi="Times New Roman" w:cs="Times New Roman"/>
          <w:sz w:val="20"/>
          <w:szCs w:val="20"/>
          <w:shd w:val="clear" w:color="auto" w:fill="FFFFFF"/>
        </w:rPr>
        <w:t>cérébrolésés</w:t>
      </w:r>
      <w:proofErr w:type="spellEnd"/>
      <w:r>
        <w:rPr>
          <w:rFonts w:ascii="Times New Roman" w:eastAsia="Segoe UI" w:hAnsi="Times New Roman" w:cs="Times New Roman"/>
          <w:sz w:val="20"/>
          <w:szCs w:val="20"/>
          <w:shd w:val="clear" w:color="auto" w:fill="FFFFFF"/>
        </w:rPr>
        <w:t xml:space="preserve"> en réanimation. Il aggrave le pronostic déjà sévère de ces patients en induisant ou en amplifiant les agressions cérébrales secondaires d'origine systémique (hypotension, hypoxémie, hyperthermie) (1, 2). Sa fréquence dans les unités de soins intensifs neurochirurgicaux varie de 0,65% à 37,7% selon les populations étudiées et les contextes de soins, avec une mortalité associée pouvant atteindre 72,7% (3-5).Dans les pays à ressources limitées, la charge des lésions cérébrales (traumatiques, vasculaires) est importante, et les contraintes liées aux plateaux techniques, à la disponibilité des antibiotiques et à la prévention des infections nosocomiales sont susceptibles d'influencer l'incidence et l'issue du choc septique dans cette population. </w:t>
      </w:r>
      <w:r>
        <w:rPr>
          <w:rFonts w:ascii="Times New Roman" w:eastAsia="SimSun" w:hAnsi="Times New Roman" w:cs="Times New Roman"/>
          <w:color w:val="000000"/>
          <w:sz w:val="20"/>
          <w:szCs w:val="20"/>
          <w:lang w:val="en-US" w:eastAsia="zh-CN"/>
        </w:rPr>
        <w:t xml:space="preserve">La </w:t>
      </w:r>
      <w:proofErr w:type="spellStart"/>
      <w:r>
        <w:rPr>
          <w:rFonts w:ascii="Times New Roman" w:eastAsia="SimSun" w:hAnsi="Times New Roman" w:cs="Times New Roman"/>
          <w:color w:val="000000"/>
          <w:sz w:val="20"/>
          <w:szCs w:val="20"/>
          <w:lang w:val="en-US" w:eastAsia="zh-CN"/>
        </w:rPr>
        <w:t>survenue</w:t>
      </w:r>
      <w:proofErr w:type="spellEnd"/>
      <w:r>
        <w:rPr>
          <w:rFonts w:ascii="Times New Roman" w:eastAsia="SimSun" w:hAnsi="Times New Roman" w:cs="Times New Roman"/>
          <w:color w:val="000000"/>
          <w:sz w:val="20"/>
          <w:szCs w:val="20"/>
          <w:lang w:val="en-US" w:eastAsia="zh-CN"/>
        </w:rPr>
        <w:t xml:space="preserve"> d’un </w:t>
      </w:r>
      <w:proofErr w:type="spellStart"/>
      <w:r>
        <w:rPr>
          <w:rFonts w:ascii="Times New Roman" w:eastAsia="SimSun" w:hAnsi="Times New Roman" w:cs="Times New Roman"/>
          <w:color w:val="000000"/>
          <w:sz w:val="20"/>
          <w:szCs w:val="20"/>
          <w:lang w:val="en-US" w:eastAsia="zh-CN"/>
        </w:rPr>
        <w:t>état</w:t>
      </w:r>
      <w:proofErr w:type="spellEnd"/>
      <w:r>
        <w:rPr>
          <w:rFonts w:ascii="Times New Roman" w:eastAsia="SimSun" w:hAnsi="Times New Roman" w:cs="Times New Roman"/>
          <w:color w:val="000000"/>
          <w:sz w:val="20"/>
          <w:szCs w:val="20"/>
          <w:lang w:val="en-US" w:eastAsia="zh-CN"/>
        </w:rPr>
        <w:t xml:space="preserve"> de choc </w:t>
      </w:r>
      <w:proofErr w:type="spellStart"/>
      <w:r>
        <w:rPr>
          <w:rFonts w:ascii="Times New Roman" w:eastAsia="SimSun" w:hAnsi="Times New Roman" w:cs="Times New Roman"/>
          <w:color w:val="000000"/>
          <w:sz w:val="20"/>
          <w:szCs w:val="20"/>
          <w:lang w:val="en-US" w:eastAsia="zh-CN"/>
        </w:rPr>
        <w:t>septique</w:t>
      </w:r>
      <w:proofErr w:type="spellEnd"/>
      <w:r>
        <w:rPr>
          <w:rFonts w:ascii="Times New Roman" w:eastAsia="SimSun" w:hAnsi="Times New Roman" w:cs="Times New Roman"/>
          <w:color w:val="000000"/>
          <w:sz w:val="20"/>
          <w:szCs w:val="20"/>
          <w:lang w:val="en-US" w:eastAsia="zh-CN"/>
        </w:rPr>
        <w:t xml:space="preserve"> </w:t>
      </w:r>
      <w:proofErr w:type="spellStart"/>
      <w:r>
        <w:rPr>
          <w:rFonts w:ascii="Times New Roman" w:eastAsia="SimSun" w:hAnsi="Times New Roman" w:cs="Times New Roman"/>
          <w:color w:val="000000"/>
          <w:sz w:val="20"/>
          <w:szCs w:val="20"/>
          <w:lang w:val="en-US" w:eastAsia="zh-CN"/>
        </w:rPr>
        <w:t>était</w:t>
      </w:r>
      <w:proofErr w:type="spellEnd"/>
      <w:r>
        <w:rPr>
          <w:rFonts w:ascii="Times New Roman" w:eastAsia="SimSun" w:hAnsi="Times New Roman" w:cs="Times New Roman"/>
          <w:color w:val="000000"/>
          <w:sz w:val="20"/>
          <w:szCs w:val="20"/>
          <w:lang w:val="en-US" w:eastAsia="zh-CN"/>
        </w:rPr>
        <w:t xml:space="preserve"> </w:t>
      </w:r>
      <w:proofErr w:type="spellStart"/>
      <w:r>
        <w:rPr>
          <w:rFonts w:ascii="Times New Roman" w:eastAsia="SimSun" w:hAnsi="Times New Roman" w:cs="Times New Roman"/>
          <w:color w:val="000000"/>
          <w:sz w:val="20"/>
          <w:szCs w:val="20"/>
          <w:lang w:val="en-US" w:eastAsia="zh-CN"/>
        </w:rPr>
        <w:t>définie</w:t>
      </w:r>
      <w:proofErr w:type="spellEnd"/>
      <w:r>
        <w:rPr>
          <w:rFonts w:ascii="Times New Roman" w:eastAsia="SimSun" w:hAnsi="Times New Roman" w:cs="Times New Roman"/>
          <w:color w:val="000000"/>
          <w:sz w:val="20"/>
          <w:szCs w:val="20"/>
          <w:lang w:val="en-US" w:eastAsia="zh-CN"/>
        </w:rPr>
        <w:t xml:space="preserve"> par </w:t>
      </w:r>
      <w:proofErr w:type="spellStart"/>
      <w:r>
        <w:rPr>
          <w:rFonts w:ascii="Times New Roman" w:eastAsia="SimSun" w:hAnsi="Times New Roman" w:cs="Times New Roman"/>
          <w:color w:val="000000"/>
          <w:sz w:val="20"/>
          <w:szCs w:val="20"/>
          <w:lang w:val="en-US" w:eastAsia="zh-CN"/>
        </w:rPr>
        <w:t>une</w:t>
      </w:r>
      <w:proofErr w:type="spellEnd"/>
      <w:r>
        <w:rPr>
          <w:rFonts w:ascii="Times New Roman" w:eastAsia="SimSun" w:hAnsi="Times New Roman" w:cs="Times New Roman"/>
          <w:color w:val="000000"/>
          <w:sz w:val="20"/>
          <w:szCs w:val="20"/>
          <w:lang w:val="en-US" w:eastAsia="zh-CN"/>
        </w:rPr>
        <w:t xml:space="preserve"> PAS </w:t>
      </w:r>
      <w:proofErr w:type="spellStart"/>
      <w:r>
        <w:rPr>
          <w:rFonts w:ascii="Times New Roman" w:eastAsia="SimSun" w:hAnsi="Times New Roman" w:cs="Times New Roman"/>
          <w:color w:val="000000"/>
          <w:sz w:val="20"/>
          <w:szCs w:val="20"/>
          <w:lang w:val="en-US" w:eastAsia="zh-CN"/>
        </w:rPr>
        <w:t>persistante</w:t>
      </w:r>
      <w:proofErr w:type="spellEnd"/>
      <w:r>
        <w:rPr>
          <w:rFonts w:ascii="Times New Roman" w:eastAsia="SimSun" w:hAnsi="Times New Roman" w:cs="Times New Roman"/>
          <w:color w:val="000000"/>
          <w:sz w:val="20"/>
          <w:szCs w:val="20"/>
          <w:lang w:val="en-US" w:eastAsia="zh-CN"/>
        </w:rPr>
        <w:t xml:space="preserve"> à </w:t>
      </w:r>
      <w:proofErr w:type="spellStart"/>
      <w:r>
        <w:rPr>
          <w:rFonts w:ascii="Times New Roman" w:eastAsia="SimSun" w:hAnsi="Times New Roman" w:cs="Times New Roman"/>
          <w:color w:val="000000"/>
          <w:sz w:val="20"/>
          <w:szCs w:val="20"/>
          <w:lang w:val="en-US" w:eastAsia="zh-CN"/>
        </w:rPr>
        <w:t>moins</w:t>
      </w:r>
      <w:proofErr w:type="spellEnd"/>
      <w:r>
        <w:rPr>
          <w:rFonts w:ascii="Times New Roman" w:eastAsia="SimSun" w:hAnsi="Times New Roman" w:cs="Times New Roman"/>
          <w:color w:val="000000"/>
          <w:sz w:val="20"/>
          <w:szCs w:val="20"/>
          <w:lang w:val="en-US" w:eastAsia="zh-CN"/>
        </w:rPr>
        <w:t xml:space="preserve"> de 90 mmHg et/</w:t>
      </w:r>
      <w:proofErr w:type="spellStart"/>
      <w:r>
        <w:rPr>
          <w:rFonts w:ascii="Times New Roman" w:eastAsia="SimSun" w:hAnsi="Times New Roman" w:cs="Times New Roman"/>
          <w:color w:val="000000"/>
          <w:sz w:val="20"/>
          <w:szCs w:val="20"/>
          <w:lang w:val="en-US" w:eastAsia="zh-CN"/>
        </w:rPr>
        <w:t>ou</w:t>
      </w:r>
      <w:proofErr w:type="spellEnd"/>
      <w:r>
        <w:rPr>
          <w:rFonts w:ascii="Times New Roman" w:eastAsia="SimSun" w:hAnsi="Times New Roman" w:cs="Times New Roman"/>
          <w:color w:val="000000"/>
          <w:sz w:val="20"/>
          <w:szCs w:val="20"/>
          <w:lang w:val="en-US" w:eastAsia="zh-CN"/>
        </w:rPr>
        <w:t xml:space="preserve"> </w:t>
      </w:r>
      <w:proofErr w:type="spellStart"/>
      <w:r>
        <w:rPr>
          <w:rFonts w:ascii="Times New Roman" w:eastAsia="SimSun" w:hAnsi="Times New Roman" w:cs="Times New Roman"/>
          <w:color w:val="000000"/>
          <w:sz w:val="20"/>
          <w:szCs w:val="20"/>
          <w:lang w:val="en-US" w:eastAsia="zh-CN"/>
        </w:rPr>
        <w:t>une</w:t>
      </w:r>
      <w:proofErr w:type="spellEnd"/>
      <w:r>
        <w:rPr>
          <w:rFonts w:ascii="Times New Roman" w:eastAsia="SimSun" w:hAnsi="Times New Roman" w:cs="Times New Roman"/>
          <w:color w:val="000000"/>
          <w:sz w:val="20"/>
          <w:szCs w:val="20"/>
          <w:lang w:val="en-US" w:eastAsia="zh-CN"/>
        </w:rPr>
        <w:t xml:space="preserve"> </w:t>
      </w:r>
      <w:proofErr w:type="spellStart"/>
      <w:r>
        <w:rPr>
          <w:rFonts w:ascii="Times New Roman" w:eastAsia="SimSun" w:hAnsi="Times New Roman" w:cs="Times New Roman"/>
          <w:color w:val="000000"/>
          <w:sz w:val="20"/>
          <w:szCs w:val="20"/>
          <w:lang w:val="en-US" w:eastAsia="zh-CN"/>
        </w:rPr>
        <w:t>pression</w:t>
      </w:r>
      <w:proofErr w:type="spellEnd"/>
      <w:r>
        <w:rPr>
          <w:rFonts w:ascii="Times New Roman" w:eastAsia="SimSun" w:hAnsi="Times New Roman" w:cs="Times New Roman"/>
          <w:color w:val="000000"/>
          <w:sz w:val="20"/>
          <w:szCs w:val="20"/>
          <w:lang w:val="en-US" w:eastAsia="zh-CN"/>
        </w:rPr>
        <w:t xml:space="preserve"> </w:t>
      </w:r>
      <w:proofErr w:type="spellStart"/>
      <w:r>
        <w:rPr>
          <w:rFonts w:ascii="Times New Roman" w:eastAsia="SimSun" w:hAnsi="Times New Roman" w:cs="Times New Roman"/>
          <w:color w:val="000000"/>
          <w:sz w:val="20"/>
          <w:szCs w:val="20"/>
          <w:lang w:val="en-US" w:eastAsia="zh-CN"/>
        </w:rPr>
        <w:t>artérielle</w:t>
      </w:r>
      <w:proofErr w:type="spellEnd"/>
      <w:r>
        <w:rPr>
          <w:rFonts w:ascii="Times New Roman" w:eastAsia="SimSun" w:hAnsi="Times New Roman" w:cs="Times New Roman"/>
          <w:color w:val="000000"/>
          <w:sz w:val="20"/>
          <w:szCs w:val="20"/>
          <w:lang w:val="en-US" w:eastAsia="zh-CN"/>
        </w:rPr>
        <w:t xml:space="preserve"> </w:t>
      </w:r>
      <w:proofErr w:type="spellStart"/>
      <w:r>
        <w:rPr>
          <w:rFonts w:ascii="Times New Roman" w:eastAsia="SimSun" w:hAnsi="Times New Roman" w:cs="Times New Roman"/>
          <w:color w:val="000000"/>
          <w:sz w:val="20"/>
          <w:szCs w:val="20"/>
          <w:lang w:val="en-US" w:eastAsia="zh-CN"/>
        </w:rPr>
        <w:t>moyenne</w:t>
      </w:r>
      <w:proofErr w:type="spellEnd"/>
      <w:r>
        <w:rPr>
          <w:rFonts w:ascii="Times New Roman" w:eastAsia="SimSun" w:hAnsi="Times New Roman" w:cs="Times New Roman"/>
          <w:color w:val="000000"/>
          <w:sz w:val="20"/>
          <w:szCs w:val="20"/>
          <w:lang w:val="en-US" w:eastAsia="zh-CN"/>
        </w:rPr>
        <w:t xml:space="preserve"> ≤ 65 mmHg </w:t>
      </w:r>
      <w:proofErr w:type="spellStart"/>
      <w:r>
        <w:rPr>
          <w:rFonts w:ascii="Times New Roman" w:eastAsia="SimSun" w:hAnsi="Times New Roman" w:cs="Times New Roman"/>
          <w:color w:val="000000"/>
          <w:sz w:val="20"/>
          <w:szCs w:val="20"/>
          <w:lang w:val="en-US" w:eastAsia="zh-CN"/>
        </w:rPr>
        <w:t>nécessitant</w:t>
      </w:r>
      <w:proofErr w:type="spellEnd"/>
      <w:r>
        <w:rPr>
          <w:rFonts w:ascii="Times New Roman" w:eastAsia="SimSun" w:hAnsi="Times New Roman" w:cs="Times New Roman"/>
          <w:color w:val="000000"/>
          <w:sz w:val="20"/>
          <w:szCs w:val="20"/>
          <w:lang w:val="en-US" w:eastAsia="zh-CN"/>
        </w:rPr>
        <w:t xml:space="preserve"> le </w:t>
      </w:r>
      <w:proofErr w:type="spellStart"/>
      <w:r>
        <w:rPr>
          <w:rFonts w:ascii="Times New Roman" w:eastAsia="SimSun" w:hAnsi="Times New Roman" w:cs="Times New Roman"/>
          <w:color w:val="000000"/>
          <w:sz w:val="20"/>
          <w:szCs w:val="20"/>
          <w:lang w:val="en-US" w:eastAsia="zh-CN"/>
        </w:rPr>
        <w:t>recours</w:t>
      </w:r>
      <w:proofErr w:type="spellEnd"/>
      <w:r>
        <w:rPr>
          <w:rFonts w:ascii="Times New Roman" w:eastAsia="SimSun" w:hAnsi="Times New Roman" w:cs="Times New Roman"/>
          <w:color w:val="000000"/>
          <w:sz w:val="20"/>
          <w:szCs w:val="20"/>
          <w:lang w:val="en-US" w:eastAsia="zh-CN"/>
        </w:rPr>
        <w:t xml:space="preserve"> aux </w:t>
      </w:r>
      <w:proofErr w:type="spellStart"/>
      <w:proofErr w:type="gramStart"/>
      <w:r>
        <w:rPr>
          <w:rFonts w:ascii="Times New Roman" w:eastAsia="SimSun" w:hAnsi="Times New Roman" w:cs="Times New Roman"/>
          <w:color w:val="000000"/>
          <w:sz w:val="20"/>
          <w:szCs w:val="20"/>
          <w:lang w:val="en-US" w:eastAsia="zh-CN"/>
        </w:rPr>
        <w:t>vasopresseurs</w:t>
      </w:r>
      <w:proofErr w:type="spellEnd"/>
      <w:r>
        <w:rPr>
          <w:rFonts w:ascii="Times New Roman" w:eastAsia="SimSun" w:hAnsi="Times New Roman" w:cs="Times New Roman"/>
          <w:color w:val="000000"/>
          <w:sz w:val="20"/>
          <w:szCs w:val="20"/>
          <w:lang w:val="en-US" w:eastAsia="zh-CN"/>
        </w:rPr>
        <w:t>.</w:t>
      </w:r>
      <w:r>
        <w:rPr>
          <w:rFonts w:ascii="Times New Roman" w:eastAsia="Segoe UI" w:hAnsi="Times New Roman" w:cs="Times New Roman"/>
          <w:sz w:val="20"/>
          <w:szCs w:val="20"/>
          <w:shd w:val="clear" w:color="auto" w:fill="FFFFFF"/>
        </w:rPr>
        <w:t>À</w:t>
      </w:r>
      <w:proofErr w:type="gramEnd"/>
      <w:r>
        <w:rPr>
          <w:rFonts w:ascii="Times New Roman" w:eastAsia="Segoe UI" w:hAnsi="Times New Roman" w:cs="Times New Roman"/>
          <w:sz w:val="20"/>
          <w:szCs w:val="20"/>
          <w:shd w:val="clear" w:color="auto" w:fill="FFFFFF"/>
        </w:rPr>
        <w:t xml:space="preserve"> Madagascar, une étude antérieure a rapporté une prévalence du choc septique de 2,74% en réanimation chirurgicale toutes pathologies confondues (6). Cependant, les données spécifiques aux patients </w:t>
      </w:r>
      <w:proofErr w:type="spellStart"/>
      <w:r>
        <w:rPr>
          <w:rFonts w:ascii="Times New Roman" w:eastAsia="Segoe UI" w:hAnsi="Times New Roman" w:cs="Times New Roman"/>
          <w:sz w:val="20"/>
          <w:szCs w:val="20"/>
          <w:shd w:val="clear" w:color="auto" w:fill="FFFFFF"/>
        </w:rPr>
        <w:t>cérébrolésés</w:t>
      </w:r>
      <w:proofErr w:type="spellEnd"/>
      <w:r>
        <w:rPr>
          <w:rFonts w:ascii="Times New Roman" w:eastAsia="Segoe UI" w:hAnsi="Times New Roman" w:cs="Times New Roman"/>
          <w:sz w:val="20"/>
          <w:szCs w:val="20"/>
          <w:shd w:val="clear" w:color="auto" w:fill="FFFFFF"/>
        </w:rPr>
        <w:t xml:space="preserve"> font </w:t>
      </w:r>
      <w:proofErr w:type="spellStart"/>
      <w:proofErr w:type="gramStart"/>
      <w:r>
        <w:rPr>
          <w:rFonts w:ascii="Times New Roman" w:eastAsia="Segoe UI" w:hAnsi="Times New Roman" w:cs="Times New Roman"/>
          <w:sz w:val="20"/>
          <w:szCs w:val="20"/>
          <w:shd w:val="clear" w:color="auto" w:fill="FFFFFF"/>
        </w:rPr>
        <w:t>défaut.Cette</w:t>
      </w:r>
      <w:proofErr w:type="spellEnd"/>
      <w:proofErr w:type="gramEnd"/>
      <w:r>
        <w:rPr>
          <w:rFonts w:ascii="Times New Roman" w:eastAsia="Segoe UI" w:hAnsi="Times New Roman" w:cs="Times New Roman"/>
          <w:sz w:val="20"/>
          <w:szCs w:val="20"/>
          <w:shd w:val="clear" w:color="auto" w:fill="FFFFFF"/>
        </w:rPr>
        <w:t xml:space="preserve"> étude avait pour objectif principal d’identifier les facteurs associés à la mortalité et pour objectif spécifique de décrire les caractéristiques épidémiologiques, cliniques, microbiologiques et évolutives du choc septique chez les patients </w:t>
      </w:r>
      <w:proofErr w:type="spellStart"/>
      <w:r>
        <w:rPr>
          <w:rFonts w:ascii="Times New Roman" w:eastAsia="Segoe UI" w:hAnsi="Times New Roman" w:cs="Times New Roman"/>
          <w:sz w:val="20"/>
          <w:szCs w:val="20"/>
          <w:shd w:val="clear" w:color="auto" w:fill="FFFFFF"/>
        </w:rPr>
        <w:t>cérébrolésés</w:t>
      </w:r>
      <w:proofErr w:type="spellEnd"/>
      <w:r>
        <w:rPr>
          <w:rFonts w:ascii="Times New Roman" w:eastAsia="Segoe UI" w:hAnsi="Times New Roman" w:cs="Times New Roman"/>
          <w:sz w:val="20"/>
          <w:szCs w:val="20"/>
          <w:shd w:val="clear" w:color="auto" w:fill="FFFFFF"/>
        </w:rPr>
        <w:t xml:space="preserve"> admis en réanimation chirurgicale au CHUJRA.</w:t>
      </w:r>
    </w:p>
    <w:p w:rsidR="005F20FC" w:rsidRDefault="005F20FC">
      <w:pPr>
        <w:spacing w:after="0" w:line="240" w:lineRule="auto"/>
        <w:jc w:val="both"/>
        <w:rPr>
          <w:rFonts w:ascii="Times New Roman" w:eastAsia="Segoe UI" w:hAnsi="Times New Roman" w:cs="Times New Roman"/>
          <w:sz w:val="20"/>
          <w:szCs w:val="20"/>
          <w:shd w:val="clear" w:color="auto" w:fill="FFFFFF"/>
        </w:rPr>
      </w:pPr>
    </w:p>
    <w:p w:rsidR="005F20FC" w:rsidRDefault="00511C4A">
      <w:pPr>
        <w:spacing w:after="0" w:line="240" w:lineRule="auto"/>
        <w:jc w:val="both"/>
        <w:rPr>
          <w:rFonts w:ascii="Times New Roman" w:hAnsi="Times New Roman" w:cs="Times New Roman"/>
          <w:b/>
          <w:color w:val="0070C0"/>
          <w:sz w:val="20"/>
          <w:szCs w:val="20"/>
        </w:rPr>
        <w:sectPr w:rsidR="005F20FC">
          <w:headerReference w:type="default" r:id="rId10"/>
          <w:footerReference w:type="default" r:id="rId11"/>
          <w:pgSz w:w="11906" w:h="16838"/>
          <w:pgMar w:top="1417" w:right="1417" w:bottom="1417" w:left="1417" w:header="708" w:footer="708" w:gutter="0"/>
          <w:pgNumType w:start="450"/>
          <w:cols w:space="708"/>
          <w:docGrid w:linePitch="360"/>
        </w:sectPr>
      </w:pPr>
      <w:r>
        <w:rPr>
          <w:rFonts w:ascii="Times New Roman" w:hAnsi="Times New Roman" w:cs="Times New Roman"/>
          <w:b/>
          <w:color w:val="0070C0"/>
          <w:sz w:val="20"/>
          <w:szCs w:val="20"/>
        </w:rPr>
        <w:pict>
          <v:shape id="_x0000_s1029" type="#_x0000_t32" style="position:absolute;left:0;text-align:left;margin-left:121pt;margin-top:8.8pt;width:330.15pt;height:.6pt;z-index:251661312" strokecolor="blue" strokeweight="1.5pt"/>
        </w:pict>
      </w:r>
      <w:r w:rsidR="00191971">
        <w:rPr>
          <w:rFonts w:ascii="Times New Roman" w:hAnsi="Times New Roman" w:cs="Times New Roman"/>
          <w:b/>
          <w:color w:val="0070C0"/>
          <w:sz w:val="20"/>
          <w:szCs w:val="20"/>
        </w:rPr>
        <w:t>Matériels et méthode</w:t>
      </w:r>
    </w:p>
    <w:p w:rsidR="005F20FC" w:rsidRDefault="00191971">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lastRenderedPageBreak/>
        <w:t xml:space="preserve">L’étude a été effectuée au centre hospitalier Universitaire Joseph </w:t>
      </w:r>
      <w:proofErr w:type="spellStart"/>
      <w:r>
        <w:rPr>
          <w:rFonts w:ascii="Times New Roman" w:hAnsi="Times New Roman" w:cs="Times New Roman"/>
          <w:sz w:val="20"/>
          <w:szCs w:val="20"/>
        </w:rPr>
        <w:t>Ravoahangy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Andrianavalona</w:t>
      </w:r>
      <w:proofErr w:type="spellEnd"/>
      <w:r>
        <w:rPr>
          <w:rFonts w:ascii="Times New Roman" w:hAnsi="Times New Roman" w:cs="Times New Roman"/>
          <w:sz w:val="20"/>
          <w:szCs w:val="20"/>
        </w:rPr>
        <w:t xml:space="preserve"> (CHU-JRA) d’Antananarivo, au service de Réanimation Chirurgicale. Le CHU-JRA est le centre hospitalier de référence pour les pathologies chirurgicales à Madagascar.</w:t>
      </w:r>
    </w:p>
    <w:p w:rsidR="005F20FC" w:rsidRDefault="00191971">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Il s’agit d’une étude rétrospective, descriptive, analytique, transversale et </w:t>
      </w:r>
      <w:proofErr w:type="spellStart"/>
      <w:r>
        <w:rPr>
          <w:rFonts w:ascii="Times New Roman" w:hAnsi="Times New Roman" w:cs="Times New Roman"/>
          <w:sz w:val="20"/>
          <w:szCs w:val="20"/>
        </w:rPr>
        <w:t>monocentrique</w:t>
      </w:r>
      <w:proofErr w:type="spellEnd"/>
      <w:r>
        <w:rPr>
          <w:rFonts w:ascii="Times New Roman" w:hAnsi="Times New Roman" w:cs="Times New Roman"/>
          <w:sz w:val="20"/>
          <w:szCs w:val="20"/>
        </w:rPr>
        <w:t xml:space="preserve">. Elle s’est étalée sur une période de 28 mois allant de Janvier 2021 au mois d’Août 2023. Tous les patients </w:t>
      </w:r>
      <w:proofErr w:type="spellStart"/>
      <w:r>
        <w:rPr>
          <w:rFonts w:ascii="Times New Roman" w:hAnsi="Times New Roman" w:cs="Times New Roman"/>
          <w:sz w:val="20"/>
          <w:szCs w:val="20"/>
        </w:rPr>
        <w:t>cérébrolésés</w:t>
      </w:r>
      <w:proofErr w:type="spellEnd"/>
      <w:r>
        <w:rPr>
          <w:rFonts w:ascii="Times New Roman" w:hAnsi="Times New Roman" w:cs="Times New Roman"/>
          <w:sz w:val="20"/>
          <w:szCs w:val="20"/>
        </w:rPr>
        <w:t xml:space="preserve"> admis en service de réanimation chirurgicale pendant la période d’étude ayant développé un état de choc septique pendant l’hospitalisation ont été inclus.</w:t>
      </w:r>
    </w:p>
    <w:p w:rsidR="005F20FC" w:rsidRDefault="00191971">
      <w:pPr>
        <w:spacing w:after="0" w:line="240" w:lineRule="auto"/>
        <w:ind w:firstLineChars="50" w:firstLine="100"/>
        <w:jc w:val="both"/>
        <w:rPr>
          <w:rFonts w:ascii="Times New Roman" w:hAnsi="Times New Roman" w:cs="Times New Roman"/>
          <w:b/>
          <w:bCs/>
          <w:sz w:val="20"/>
          <w:szCs w:val="20"/>
        </w:rPr>
      </w:pPr>
      <w:r>
        <w:rPr>
          <w:rFonts w:ascii="Times New Roman" w:hAnsi="Times New Roman" w:cs="Times New Roman"/>
          <w:sz w:val="20"/>
          <w:szCs w:val="20"/>
        </w:rPr>
        <w:t xml:space="preserve">Les critères d’un état de choc septique étaient : </w:t>
      </w:r>
    </w:p>
    <w:p w:rsidR="005F20FC" w:rsidRDefault="00191971">
      <w:pPr>
        <w:pStyle w:val="Paragraphedeliste"/>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la présomption d’infection bactérienne (température élevée, tachycardie, polypnée, hyperleucocytose) avec foyers identifiés.</w:t>
      </w:r>
    </w:p>
    <w:p w:rsidR="005F20FC" w:rsidRDefault="00191971">
      <w:pPr>
        <w:pStyle w:val="Paragraphedeliste"/>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Segoe UI" w:hAnsi="Times New Roman" w:cs="Times New Roman"/>
          <w:sz w:val="20"/>
          <w:szCs w:val="20"/>
          <w:shd w:val="clear" w:color="auto" w:fill="FFFFFF"/>
        </w:rPr>
        <w:t xml:space="preserve">Hypotension artérielle (PAS &lt; 90 </w:t>
      </w:r>
      <w:proofErr w:type="spellStart"/>
      <w:r>
        <w:rPr>
          <w:rFonts w:ascii="Times New Roman" w:eastAsia="Segoe UI" w:hAnsi="Times New Roman" w:cs="Times New Roman"/>
          <w:sz w:val="20"/>
          <w:szCs w:val="20"/>
          <w:shd w:val="clear" w:color="auto" w:fill="FFFFFF"/>
        </w:rPr>
        <w:t>mmHg</w:t>
      </w:r>
      <w:proofErr w:type="spellEnd"/>
      <w:r>
        <w:rPr>
          <w:rFonts w:ascii="Times New Roman" w:eastAsia="Segoe UI" w:hAnsi="Times New Roman" w:cs="Times New Roman"/>
          <w:sz w:val="20"/>
          <w:szCs w:val="20"/>
          <w:shd w:val="clear" w:color="auto" w:fill="FFFFFF"/>
        </w:rPr>
        <w:t xml:space="preserve"> ou chute &gt; 40 </w:t>
      </w:r>
      <w:proofErr w:type="spellStart"/>
      <w:r>
        <w:rPr>
          <w:rFonts w:ascii="Times New Roman" w:eastAsia="Segoe UI" w:hAnsi="Times New Roman" w:cs="Times New Roman"/>
          <w:sz w:val="20"/>
          <w:szCs w:val="20"/>
          <w:shd w:val="clear" w:color="auto" w:fill="FFFFFF"/>
        </w:rPr>
        <w:t>mmHg</w:t>
      </w:r>
      <w:proofErr w:type="spellEnd"/>
      <w:r>
        <w:rPr>
          <w:rFonts w:ascii="Times New Roman" w:eastAsia="Segoe UI" w:hAnsi="Times New Roman" w:cs="Times New Roman"/>
          <w:sz w:val="20"/>
          <w:szCs w:val="20"/>
          <w:shd w:val="clear" w:color="auto" w:fill="FFFFFF"/>
        </w:rPr>
        <w:t xml:space="preserve">) persistante malgré un remplissage vasculaire adéquat. </w:t>
      </w:r>
    </w:p>
    <w:p w:rsidR="005F20FC" w:rsidRDefault="00191971">
      <w:pPr>
        <w:pStyle w:val="NormalWeb"/>
        <w:spacing w:before="0" w:beforeAutospacing="0" w:after="0" w:afterAutospacing="0"/>
        <w:jc w:val="both"/>
        <w:rPr>
          <w:rFonts w:eastAsia="Segoe UI"/>
          <w:sz w:val="20"/>
          <w:szCs w:val="20"/>
          <w:shd w:val="clear" w:color="auto" w:fill="FFFFFF"/>
        </w:rPr>
      </w:pPr>
      <w:r>
        <w:rPr>
          <w:sz w:val="20"/>
          <w:szCs w:val="20"/>
        </w:rPr>
        <w:t xml:space="preserve">Les critères d’exclusion étaient </w:t>
      </w:r>
      <w:r>
        <w:rPr>
          <w:rFonts w:eastAsia="Segoe UI"/>
          <w:sz w:val="20"/>
          <w:szCs w:val="20"/>
          <w:shd w:val="clear" w:color="auto" w:fill="FFFFFF"/>
        </w:rPr>
        <w:t>un état de choc septique déjà installé à l'admission en réanimation.</w:t>
      </w:r>
    </w:p>
    <w:p w:rsidR="005F20FC" w:rsidRDefault="00191971">
      <w:pPr>
        <w:pStyle w:val="NormalWeb"/>
        <w:spacing w:before="0" w:beforeAutospacing="0" w:after="0" w:afterAutospacing="0"/>
        <w:jc w:val="both"/>
        <w:rPr>
          <w:sz w:val="20"/>
          <w:szCs w:val="20"/>
        </w:rPr>
      </w:pPr>
      <w:r>
        <w:rPr>
          <w:sz w:val="20"/>
          <w:szCs w:val="20"/>
          <w:lang w:eastAsia="fr-FR"/>
        </w:rPr>
        <w:t xml:space="preserve">Les données ont été collectées à partir des dossiers médicaux des patients remplissant les critères. </w:t>
      </w:r>
      <w:r>
        <w:rPr>
          <w:sz w:val="20"/>
          <w:szCs w:val="20"/>
        </w:rPr>
        <w:t xml:space="preserve">Les </w:t>
      </w:r>
      <w:r>
        <w:rPr>
          <w:sz w:val="20"/>
          <w:szCs w:val="20"/>
        </w:rPr>
        <w:lastRenderedPageBreak/>
        <w:t>données recueillies ont étés saisies avec le logiciel Excel</w:t>
      </w:r>
      <w:r>
        <w:rPr>
          <w:sz w:val="20"/>
          <w:szCs w:val="20"/>
          <w:vertAlign w:val="superscript"/>
        </w:rPr>
        <w:t>®</w:t>
      </w:r>
      <w:r>
        <w:rPr>
          <w:sz w:val="20"/>
          <w:szCs w:val="20"/>
        </w:rPr>
        <w:t xml:space="preserve"> 2010.L’analysedes données a été réalisée avec le logiciel Epi-info 7.2. Les tests statistiques utilisés ont été le test de Fisher Exact (croisement des variables qualitatives nominales avec n</w:t>
      </w:r>
      <w:r>
        <w:rPr>
          <w:sz w:val="20"/>
          <w:szCs w:val="20"/>
        </w:rPr>
        <w:sym w:font="Symbol" w:char="F03C"/>
      </w:r>
      <w:r>
        <w:rPr>
          <w:sz w:val="20"/>
          <w:szCs w:val="20"/>
        </w:rPr>
        <w:t xml:space="preserve"> 5) et de Mann Whitney (comparaison de deux médianes des variables quantitatives). Le seuil de signification a été fixé à 0,05 (p ≤ 0,05).</w:t>
      </w:r>
    </w:p>
    <w:p w:rsidR="005F20FC" w:rsidRDefault="00191971">
      <w:pPr>
        <w:pStyle w:val="Titre2"/>
        <w:numPr>
          <w:ilvl w:val="1"/>
          <w:numId w:val="0"/>
        </w:numPr>
        <w:spacing w:before="0" w:after="0" w:line="240" w:lineRule="auto"/>
        <w:jc w:val="both"/>
        <w:rPr>
          <w:rFonts w:ascii="Times New Roman" w:hAnsi="Times New Roman" w:cs="Times New Roman"/>
          <w:b w:val="0"/>
          <w:color w:val="auto"/>
          <w:sz w:val="20"/>
          <w:szCs w:val="20"/>
        </w:rPr>
      </w:pPr>
      <w:bookmarkStart w:id="1" w:name="_Toc176359831"/>
      <w:r>
        <w:rPr>
          <w:rFonts w:ascii="Times New Roman" w:hAnsi="Times New Roman" w:cs="Times New Roman"/>
          <w:b w:val="0"/>
          <w:color w:val="auto"/>
          <w:sz w:val="20"/>
          <w:szCs w:val="20"/>
        </w:rPr>
        <w:t>Les paramètres étudiés</w:t>
      </w:r>
      <w:bookmarkStart w:id="2" w:name="_Toc125895650"/>
      <w:bookmarkStart w:id="3" w:name="_Toc125924361"/>
      <w:bookmarkStart w:id="4" w:name="_Toc138102234"/>
      <w:bookmarkStart w:id="5" w:name="_Toc138460474"/>
      <w:bookmarkStart w:id="6" w:name="_Toc129290728"/>
      <w:bookmarkStart w:id="7" w:name="_Toc125985961"/>
      <w:bookmarkStart w:id="8" w:name="_Toc128498311"/>
      <w:bookmarkStart w:id="9" w:name="_Toc130287065"/>
      <w:bookmarkStart w:id="10" w:name="_Toc139922832"/>
      <w:bookmarkStart w:id="11" w:name="_Toc176359832"/>
      <w:bookmarkEnd w:id="1"/>
      <w:r>
        <w:rPr>
          <w:rFonts w:ascii="Times New Roman" w:hAnsi="Times New Roman" w:cs="Times New Roman"/>
          <w:b w:val="0"/>
          <w:color w:val="auto"/>
          <w:sz w:val="20"/>
          <w:szCs w:val="20"/>
        </w:rPr>
        <w:t xml:space="preserve"> étaient :</w:t>
      </w:r>
    </w:p>
    <w:p w:rsidR="005F20FC" w:rsidRDefault="00191971">
      <w:pPr>
        <w:pStyle w:val="Titre2"/>
        <w:numPr>
          <w:ilvl w:val="1"/>
          <w:numId w:val="0"/>
        </w:numPr>
        <w:spacing w:before="0" w:after="0" w:line="240" w:lineRule="auto"/>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 les données démographiques</w:t>
      </w:r>
      <w:bookmarkEnd w:id="2"/>
      <w:bookmarkEnd w:id="3"/>
      <w:bookmarkEnd w:id="4"/>
      <w:bookmarkEnd w:id="5"/>
      <w:bookmarkEnd w:id="6"/>
      <w:bookmarkEnd w:id="7"/>
      <w:bookmarkEnd w:id="8"/>
      <w:bookmarkEnd w:id="9"/>
      <w:bookmarkEnd w:id="10"/>
      <w:bookmarkEnd w:id="11"/>
      <w:r>
        <w:rPr>
          <w:rFonts w:ascii="Times New Roman" w:hAnsi="Times New Roman" w:cs="Times New Roman"/>
          <w:b w:val="0"/>
          <w:color w:val="auto"/>
          <w:sz w:val="20"/>
          <w:szCs w:val="20"/>
        </w:rPr>
        <w:t xml:space="preserve"> : l’âge, le genre</w:t>
      </w:r>
      <w:bookmarkStart w:id="12" w:name="_Toc139922833"/>
      <w:bookmarkStart w:id="13" w:name="_Toc176359833"/>
      <w:bookmarkStart w:id="14" w:name="_Toc138102235"/>
      <w:bookmarkStart w:id="15" w:name="_Toc129290729"/>
      <w:bookmarkStart w:id="16" w:name="_Toc125895651"/>
      <w:bookmarkStart w:id="17" w:name="_Toc128498312"/>
      <w:bookmarkStart w:id="18" w:name="_Toc125924362"/>
      <w:bookmarkStart w:id="19" w:name="_Toc125985962"/>
      <w:bookmarkStart w:id="20" w:name="_Toc138460475"/>
      <w:bookmarkStart w:id="21" w:name="_Toc130287066"/>
    </w:p>
    <w:p w:rsidR="005F20FC" w:rsidRDefault="0019197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le </w:t>
      </w:r>
      <w:bookmarkEnd w:id="12"/>
      <w:bookmarkEnd w:id="13"/>
      <w:bookmarkEnd w:id="14"/>
      <w:bookmarkEnd w:id="15"/>
      <w:bookmarkEnd w:id="16"/>
      <w:bookmarkEnd w:id="17"/>
      <w:bookmarkEnd w:id="18"/>
      <w:bookmarkEnd w:id="19"/>
      <w:bookmarkEnd w:id="20"/>
      <w:bookmarkEnd w:id="21"/>
      <w:r>
        <w:rPr>
          <w:rFonts w:ascii="Times New Roman" w:hAnsi="Times New Roman" w:cs="Times New Roman"/>
          <w:sz w:val="20"/>
          <w:szCs w:val="20"/>
        </w:rPr>
        <w:t xml:space="preserve">contexte clinique initial : les antécédents, les motifs d’entrée selon l’intervention </w:t>
      </w:r>
      <w:proofErr w:type="gramStart"/>
      <w:r>
        <w:rPr>
          <w:rFonts w:ascii="Times New Roman" w:hAnsi="Times New Roman" w:cs="Times New Roman"/>
          <w:sz w:val="20"/>
          <w:szCs w:val="20"/>
        </w:rPr>
        <w:t>chirurgicale  et</w:t>
      </w:r>
      <w:proofErr w:type="gramEnd"/>
      <w:r>
        <w:rPr>
          <w:rFonts w:ascii="Times New Roman" w:hAnsi="Times New Roman" w:cs="Times New Roman"/>
          <w:sz w:val="20"/>
          <w:szCs w:val="20"/>
        </w:rPr>
        <w:t xml:space="preserve"> selon le caractère traumatique ou non :</w:t>
      </w:r>
    </w:p>
    <w:p w:rsidR="005F20FC" w:rsidRDefault="00191971">
      <w:pPr>
        <w:pStyle w:val="NormalWeb"/>
        <w:spacing w:before="0" w:beforeAutospacing="0" w:after="0" w:afterAutospacing="0"/>
        <w:jc w:val="both"/>
        <w:rPr>
          <w:sz w:val="20"/>
          <w:szCs w:val="20"/>
        </w:rPr>
      </w:pPr>
      <w:r>
        <w:rPr>
          <w:sz w:val="20"/>
          <w:szCs w:val="20"/>
        </w:rPr>
        <w:t>- les c</w:t>
      </w:r>
      <w:r>
        <w:rPr>
          <w:rStyle w:val="lev"/>
          <w:rFonts w:eastAsia="Segoe UI"/>
          <w:b w:val="0"/>
          <w:bCs w:val="0"/>
          <w:sz w:val="20"/>
          <w:szCs w:val="20"/>
          <w:shd w:val="clear" w:color="auto" w:fill="FFFFFF"/>
        </w:rPr>
        <w:t>aractéristiques du choc septique</w:t>
      </w:r>
      <w:r>
        <w:rPr>
          <w:rFonts w:eastAsia="Segoe UI"/>
          <w:sz w:val="20"/>
          <w:szCs w:val="20"/>
          <w:shd w:val="clear" w:color="auto" w:fill="FFFFFF"/>
        </w:rPr>
        <w:t> : délai d'apparition, paramètres vitaux (TA, FC, FR, Température, SpO</w:t>
      </w:r>
      <w:r>
        <w:rPr>
          <w:rFonts w:eastAsia="Segoe UI"/>
          <w:sz w:val="20"/>
          <w:szCs w:val="20"/>
          <w:shd w:val="clear" w:color="auto" w:fill="FFFFFF"/>
          <w:vertAlign w:val="subscript"/>
        </w:rPr>
        <w:t>2</w:t>
      </w:r>
      <w:r>
        <w:rPr>
          <w:rFonts w:eastAsia="Segoe UI"/>
          <w:sz w:val="20"/>
          <w:szCs w:val="20"/>
          <w:shd w:val="clear" w:color="auto" w:fill="FFFFFF"/>
        </w:rPr>
        <w:t>), score à l’échelle de Glasgow, diurèse, signes neurologiques et respiratoires.</w:t>
      </w:r>
    </w:p>
    <w:p w:rsidR="005F20FC" w:rsidRDefault="00191971">
      <w:pPr>
        <w:spacing w:after="0" w:line="240" w:lineRule="auto"/>
        <w:jc w:val="both"/>
        <w:rPr>
          <w:rFonts w:ascii="Times New Roman" w:hAnsi="Times New Roman" w:cs="Times New Roman"/>
          <w:sz w:val="20"/>
          <w:szCs w:val="20"/>
        </w:rPr>
      </w:pPr>
      <w:r>
        <w:rPr>
          <w:rStyle w:val="lev"/>
          <w:rFonts w:ascii="Times New Roman" w:eastAsia="Segoe UI" w:hAnsi="Times New Roman" w:cs="Times New Roman"/>
          <w:b w:val="0"/>
          <w:bCs w:val="0"/>
          <w:sz w:val="20"/>
          <w:szCs w:val="20"/>
          <w:shd w:val="clear" w:color="auto" w:fill="FFFFFF"/>
        </w:rPr>
        <w:t>- l’évaluation de la gravité</w:t>
      </w:r>
      <w:r>
        <w:rPr>
          <w:rFonts w:ascii="Times New Roman" w:eastAsia="Segoe UI" w:hAnsi="Times New Roman" w:cs="Times New Roman"/>
          <w:sz w:val="20"/>
          <w:szCs w:val="20"/>
          <w:shd w:val="clear" w:color="auto" w:fill="FFFFFF"/>
        </w:rPr>
        <w:t xml:space="preserve"> : Calcul du score </w:t>
      </w:r>
      <w:proofErr w:type="spellStart"/>
      <w:r>
        <w:rPr>
          <w:rFonts w:ascii="Times New Roman" w:eastAsia="SimSun" w:hAnsi="Times New Roman" w:cs="Times New Roman"/>
          <w:sz w:val="20"/>
          <w:szCs w:val="20"/>
          <w:lang w:val="en-US" w:eastAsia="zh-CN"/>
        </w:rPr>
        <w:t>qSOFA</w:t>
      </w:r>
      <w:proofErr w:type="spellEnd"/>
      <w:r>
        <w:rPr>
          <w:rFonts w:ascii="Times New Roman" w:eastAsia="SimSun" w:hAnsi="Times New Roman" w:cs="Times New Roman"/>
          <w:sz w:val="20"/>
          <w:szCs w:val="20"/>
          <w:lang w:val="en-US" w:eastAsia="zh-CN"/>
        </w:rPr>
        <w:t xml:space="preserve">, </w:t>
      </w:r>
      <w:proofErr w:type="spellStart"/>
      <w:r>
        <w:rPr>
          <w:rFonts w:ascii="Times New Roman" w:eastAsia="SimSun" w:hAnsi="Times New Roman" w:cs="Times New Roman"/>
          <w:sz w:val="20"/>
          <w:szCs w:val="20"/>
          <w:lang w:val="en-US" w:eastAsia="zh-CN"/>
        </w:rPr>
        <w:t>basé</w:t>
      </w:r>
      <w:proofErr w:type="spellEnd"/>
      <w:r>
        <w:rPr>
          <w:rFonts w:ascii="Times New Roman" w:eastAsia="SimSun" w:hAnsi="Times New Roman" w:cs="Times New Roman"/>
          <w:sz w:val="20"/>
          <w:szCs w:val="20"/>
          <w:lang w:val="en-US" w:eastAsia="zh-CN"/>
        </w:rPr>
        <w:t xml:space="preserve"> sur </w:t>
      </w:r>
      <w:proofErr w:type="spellStart"/>
      <w:r>
        <w:rPr>
          <w:rFonts w:ascii="Times New Roman" w:eastAsia="SimSun" w:hAnsi="Times New Roman" w:cs="Times New Roman"/>
          <w:sz w:val="20"/>
          <w:szCs w:val="20"/>
          <w:lang w:val="en-US" w:eastAsia="zh-CN"/>
        </w:rPr>
        <w:t>trois</w:t>
      </w:r>
      <w:proofErr w:type="spellEnd"/>
      <w:r>
        <w:rPr>
          <w:rFonts w:ascii="Times New Roman" w:eastAsia="SimSun" w:hAnsi="Times New Roman" w:cs="Times New Roman"/>
          <w:sz w:val="20"/>
          <w:szCs w:val="20"/>
          <w:lang w:val="en-US" w:eastAsia="zh-CN"/>
        </w:rPr>
        <w:t xml:space="preserve"> items (</w:t>
      </w:r>
      <w:proofErr w:type="spellStart"/>
      <w:r>
        <w:rPr>
          <w:rFonts w:ascii="Times New Roman" w:eastAsia="SimSun" w:hAnsi="Times New Roman" w:cs="Times New Roman"/>
          <w:sz w:val="20"/>
          <w:szCs w:val="20"/>
          <w:lang w:val="en-US" w:eastAsia="zh-CN"/>
        </w:rPr>
        <w:t>fréquence</w:t>
      </w:r>
      <w:proofErr w:type="spellEnd"/>
      <w:r>
        <w:rPr>
          <w:rFonts w:ascii="Times New Roman" w:eastAsia="SimSun" w:hAnsi="Times New Roman" w:cs="Times New Roman"/>
          <w:sz w:val="20"/>
          <w:szCs w:val="20"/>
          <w:lang w:val="en-US" w:eastAsia="zh-CN"/>
        </w:rPr>
        <w:t xml:space="preserve"> </w:t>
      </w:r>
      <w:proofErr w:type="spellStart"/>
      <w:r>
        <w:rPr>
          <w:rFonts w:ascii="Times New Roman" w:eastAsia="SimSun" w:hAnsi="Times New Roman" w:cs="Times New Roman"/>
          <w:sz w:val="20"/>
          <w:szCs w:val="20"/>
          <w:lang w:val="en-US" w:eastAsia="zh-CN"/>
        </w:rPr>
        <w:t>respiratoire</w:t>
      </w:r>
      <w:proofErr w:type="spellEnd"/>
      <w:r>
        <w:rPr>
          <w:rFonts w:ascii="Times New Roman" w:eastAsia="SimSun" w:hAnsi="Times New Roman" w:cs="Times New Roman"/>
          <w:sz w:val="20"/>
          <w:szCs w:val="20"/>
          <w:lang w:val="en-US" w:eastAsia="zh-CN"/>
        </w:rPr>
        <w:t xml:space="preserve"> ≥ 22/min, score à </w:t>
      </w:r>
      <w:proofErr w:type="spellStart"/>
      <w:r>
        <w:rPr>
          <w:rFonts w:ascii="Times New Roman" w:eastAsia="SimSun" w:hAnsi="Times New Roman" w:cs="Times New Roman"/>
          <w:sz w:val="20"/>
          <w:szCs w:val="20"/>
          <w:lang w:val="en-US" w:eastAsia="zh-CN"/>
        </w:rPr>
        <w:t>l’échelle</w:t>
      </w:r>
      <w:proofErr w:type="spellEnd"/>
      <w:r>
        <w:rPr>
          <w:rFonts w:ascii="Times New Roman" w:eastAsia="SimSun" w:hAnsi="Times New Roman" w:cs="Times New Roman"/>
          <w:sz w:val="20"/>
          <w:szCs w:val="20"/>
          <w:lang w:val="en-US" w:eastAsia="zh-CN"/>
        </w:rPr>
        <w:t xml:space="preserve"> de Glasgow ≤ 14, </w:t>
      </w:r>
      <w:proofErr w:type="spellStart"/>
      <w:r>
        <w:rPr>
          <w:rFonts w:ascii="Times New Roman" w:eastAsia="SimSun" w:hAnsi="Times New Roman" w:cs="Times New Roman"/>
          <w:sz w:val="20"/>
          <w:szCs w:val="20"/>
          <w:lang w:val="en-US" w:eastAsia="zh-CN"/>
        </w:rPr>
        <w:t>pression</w:t>
      </w:r>
      <w:proofErr w:type="spellEnd"/>
      <w:r>
        <w:rPr>
          <w:rFonts w:ascii="Times New Roman" w:eastAsia="SimSun" w:hAnsi="Times New Roman" w:cs="Times New Roman"/>
          <w:sz w:val="20"/>
          <w:szCs w:val="20"/>
          <w:lang w:val="en-US" w:eastAsia="zh-CN"/>
        </w:rPr>
        <w:t xml:space="preserve"> </w:t>
      </w:r>
      <w:proofErr w:type="spellStart"/>
      <w:r>
        <w:rPr>
          <w:rFonts w:ascii="Times New Roman" w:eastAsia="SimSun" w:hAnsi="Times New Roman" w:cs="Times New Roman"/>
          <w:sz w:val="20"/>
          <w:szCs w:val="20"/>
          <w:lang w:val="en-US" w:eastAsia="zh-CN"/>
        </w:rPr>
        <w:t>artérielle</w:t>
      </w:r>
      <w:proofErr w:type="spellEnd"/>
      <w:r>
        <w:rPr>
          <w:rFonts w:ascii="Times New Roman" w:eastAsia="SimSun" w:hAnsi="Times New Roman" w:cs="Times New Roman"/>
          <w:sz w:val="20"/>
          <w:szCs w:val="20"/>
          <w:lang w:val="en-US" w:eastAsia="zh-CN"/>
        </w:rPr>
        <w:t xml:space="preserve"> </w:t>
      </w:r>
      <w:proofErr w:type="spellStart"/>
      <w:r>
        <w:rPr>
          <w:rFonts w:ascii="Times New Roman" w:eastAsia="SimSun" w:hAnsi="Times New Roman" w:cs="Times New Roman"/>
          <w:sz w:val="20"/>
          <w:szCs w:val="20"/>
          <w:lang w:val="en-US" w:eastAsia="zh-CN"/>
        </w:rPr>
        <w:t>systolique</w:t>
      </w:r>
      <w:proofErr w:type="spellEnd"/>
      <w:r>
        <w:rPr>
          <w:rFonts w:ascii="Times New Roman" w:eastAsia="SimSun" w:hAnsi="Times New Roman" w:cs="Times New Roman"/>
          <w:sz w:val="20"/>
          <w:szCs w:val="20"/>
          <w:lang w:val="en-US" w:eastAsia="zh-CN"/>
        </w:rPr>
        <w:t xml:space="preserve"> (PAS) ≤ 100 mmHg), </w:t>
      </w:r>
      <w:proofErr w:type="spellStart"/>
      <w:r>
        <w:rPr>
          <w:rFonts w:ascii="Times New Roman" w:eastAsia="SimSun" w:hAnsi="Times New Roman" w:cs="Times New Roman"/>
          <w:sz w:val="20"/>
          <w:szCs w:val="20"/>
          <w:lang w:val="en-US" w:eastAsia="zh-CN"/>
        </w:rPr>
        <w:t>chacun</w:t>
      </w:r>
      <w:proofErr w:type="spellEnd"/>
      <w:r>
        <w:rPr>
          <w:rFonts w:ascii="Times New Roman" w:eastAsia="SimSun" w:hAnsi="Times New Roman" w:cs="Times New Roman"/>
          <w:sz w:val="20"/>
          <w:szCs w:val="20"/>
          <w:lang w:val="en-US" w:eastAsia="zh-CN"/>
        </w:rPr>
        <w:t xml:space="preserve"> </w:t>
      </w:r>
      <w:proofErr w:type="spellStart"/>
      <w:r>
        <w:rPr>
          <w:rFonts w:ascii="Times New Roman" w:eastAsia="SimSun" w:hAnsi="Times New Roman" w:cs="Times New Roman"/>
          <w:sz w:val="20"/>
          <w:szCs w:val="20"/>
          <w:lang w:val="en-US" w:eastAsia="zh-CN"/>
        </w:rPr>
        <w:t>coté</w:t>
      </w:r>
      <w:proofErr w:type="spellEnd"/>
      <w:r>
        <w:rPr>
          <w:rFonts w:ascii="Times New Roman" w:eastAsia="SimSun" w:hAnsi="Times New Roman" w:cs="Times New Roman"/>
          <w:sz w:val="20"/>
          <w:szCs w:val="20"/>
          <w:lang w:val="en-US" w:eastAsia="zh-CN"/>
        </w:rPr>
        <w:t xml:space="preserve"> à 1 point.</w:t>
      </w:r>
    </w:p>
    <w:p w:rsidR="005F20FC" w:rsidRDefault="00191971">
      <w:pPr>
        <w:pStyle w:val="NormalWeb"/>
        <w:spacing w:before="0" w:beforeAutospacing="0" w:after="0" w:afterAutospacing="0"/>
        <w:jc w:val="both"/>
        <w:rPr>
          <w:sz w:val="20"/>
          <w:szCs w:val="20"/>
        </w:rPr>
      </w:pPr>
      <w:r>
        <w:rPr>
          <w:rStyle w:val="lev"/>
          <w:rFonts w:eastAsia="Segoe UI"/>
          <w:b w:val="0"/>
          <w:bCs w:val="0"/>
          <w:sz w:val="20"/>
          <w:szCs w:val="20"/>
          <w:shd w:val="clear" w:color="auto" w:fill="FFFFFF"/>
        </w:rPr>
        <w:t>- les examens paracliniques</w:t>
      </w:r>
      <w:r>
        <w:rPr>
          <w:rFonts w:eastAsia="Segoe UI"/>
          <w:sz w:val="20"/>
          <w:szCs w:val="20"/>
          <w:shd w:val="clear" w:color="auto" w:fill="FFFFFF"/>
        </w:rPr>
        <w:t xml:space="preserve"> : biologie (bactériologie, NFS, CRP, ionogramme), sérologie COVID-19, radiographie thoracique. </w:t>
      </w:r>
    </w:p>
    <w:p w:rsidR="005F20FC" w:rsidRDefault="00191971">
      <w:pPr>
        <w:pStyle w:val="NormalWeb"/>
        <w:spacing w:before="0" w:beforeAutospacing="0" w:after="0" w:afterAutospacing="0"/>
        <w:jc w:val="both"/>
        <w:rPr>
          <w:sz w:val="20"/>
          <w:szCs w:val="20"/>
        </w:rPr>
      </w:pPr>
      <w:r>
        <w:rPr>
          <w:rStyle w:val="lev"/>
          <w:rFonts w:eastAsia="Segoe UI"/>
          <w:b w:val="0"/>
          <w:bCs w:val="0"/>
          <w:sz w:val="20"/>
          <w:szCs w:val="20"/>
          <w:shd w:val="clear" w:color="auto" w:fill="FFFFFF"/>
        </w:rPr>
        <w:lastRenderedPageBreak/>
        <w:t>- la prise en charge thérapeutique</w:t>
      </w:r>
      <w:r>
        <w:rPr>
          <w:rFonts w:eastAsia="Segoe UI"/>
          <w:sz w:val="20"/>
          <w:szCs w:val="20"/>
          <w:shd w:val="clear" w:color="auto" w:fill="FFFFFF"/>
        </w:rPr>
        <w:t xml:space="preserve"> : support ventilatoire, remplissage vasculaire (voie veineuse périphérique ou centrale), agents vasopresseurs utilisés (noradrénaline, </w:t>
      </w:r>
      <w:proofErr w:type="spellStart"/>
      <w:r>
        <w:rPr>
          <w:rFonts w:eastAsia="Segoe UI"/>
          <w:sz w:val="20"/>
          <w:szCs w:val="20"/>
          <w:shd w:val="clear" w:color="auto" w:fill="FFFFFF"/>
        </w:rPr>
        <w:t>dobutamine</w:t>
      </w:r>
      <w:proofErr w:type="spellEnd"/>
      <w:r>
        <w:rPr>
          <w:rFonts w:eastAsia="Segoe UI"/>
          <w:sz w:val="20"/>
          <w:szCs w:val="20"/>
          <w:shd w:val="clear" w:color="auto" w:fill="FFFFFF"/>
        </w:rPr>
        <w:t xml:space="preserve">, adrénaline), antibiothérapie administrée (classes : aminosides, quinolones, </w:t>
      </w:r>
      <w:proofErr w:type="spellStart"/>
      <w:r>
        <w:rPr>
          <w:rFonts w:eastAsia="Segoe UI"/>
          <w:sz w:val="20"/>
          <w:szCs w:val="20"/>
          <w:shd w:val="clear" w:color="auto" w:fill="FFFFFF"/>
        </w:rPr>
        <w:t>pénèmes</w:t>
      </w:r>
      <w:proofErr w:type="spellEnd"/>
      <w:r>
        <w:rPr>
          <w:rFonts w:eastAsia="Segoe UI"/>
          <w:sz w:val="20"/>
          <w:szCs w:val="20"/>
          <w:shd w:val="clear" w:color="auto" w:fill="FFFFFF"/>
        </w:rPr>
        <w:t>, céphalosporines de 3</w:t>
      </w:r>
      <w:r>
        <w:rPr>
          <w:rFonts w:eastAsia="Segoe UI"/>
          <w:sz w:val="20"/>
          <w:szCs w:val="20"/>
          <w:shd w:val="clear" w:color="auto" w:fill="FFFFFF"/>
          <w:vertAlign w:val="superscript"/>
        </w:rPr>
        <w:t>ème</w:t>
      </w:r>
      <w:r>
        <w:rPr>
          <w:rFonts w:eastAsia="Segoe UI"/>
          <w:sz w:val="20"/>
          <w:szCs w:val="20"/>
          <w:shd w:val="clear" w:color="auto" w:fill="FFFFFF"/>
        </w:rPr>
        <w:t xml:space="preserve"> génération).</w:t>
      </w:r>
    </w:p>
    <w:p w:rsidR="005F20FC" w:rsidRDefault="00191971">
      <w:pPr>
        <w:pStyle w:val="NormalWeb"/>
        <w:spacing w:before="0" w:beforeAutospacing="0" w:after="0" w:afterAutospacing="0"/>
        <w:jc w:val="both"/>
        <w:rPr>
          <w:rFonts w:eastAsia="Segoe UI"/>
          <w:sz w:val="20"/>
          <w:szCs w:val="20"/>
          <w:shd w:val="clear" w:color="auto" w:fill="FFFFFF"/>
        </w:rPr>
      </w:pPr>
      <w:r>
        <w:rPr>
          <w:rStyle w:val="lev"/>
          <w:rFonts w:eastAsia="Segoe UI"/>
          <w:b w:val="0"/>
          <w:bCs w:val="0"/>
          <w:sz w:val="20"/>
          <w:szCs w:val="20"/>
          <w:shd w:val="clear" w:color="auto" w:fill="FFFFFF"/>
        </w:rPr>
        <w:t>- Évolution</w:t>
      </w:r>
      <w:r>
        <w:rPr>
          <w:rFonts w:eastAsia="Segoe UI"/>
          <w:sz w:val="20"/>
          <w:szCs w:val="20"/>
          <w:shd w:val="clear" w:color="auto" w:fill="FFFFFF"/>
        </w:rPr>
        <w:t> : Complications survenues et issue du patient (sortie ou décès).</w:t>
      </w:r>
    </w:p>
    <w:p w:rsidR="005F20FC" w:rsidRDefault="00191971">
      <w:pPr>
        <w:pStyle w:val="NormalWeb"/>
        <w:spacing w:before="0" w:beforeAutospacing="0" w:after="0" w:afterAutospacing="0"/>
        <w:jc w:val="both"/>
        <w:rPr>
          <w:rFonts w:eastAsia="Segoe UI"/>
          <w:sz w:val="20"/>
          <w:szCs w:val="20"/>
          <w:shd w:val="clear" w:color="auto" w:fill="FFFFFF"/>
        </w:rPr>
      </w:pPr>
      <w:r>
        <w:rPr>
          <w:sz w:val="20"/>
          <w:szCs w:val="20"/>
        </w:rPr>
        <w:t xml:space="preserve">La mise en œuvre de cette étude a été approuvée et accordée par le Chef </w:t>
      </w:r>
      <w:proofErr w:type="spellStart"/>
      <w:r>
        <w:rPr>
          <w:sz w:val="20"/>
          <w:szCs w:val="20"/>
        </w:rPr>
        <w:t>hierarchique</w:t>
      </w:r>
      <w:proofErr w:type="spellEnd"/>
      <w:r>
        <w:rPr>
          <w:sz w:val="20"/>
          <w:szCs w:val="20"/>
        </w:rPr>
        <w:t xml:space="preserve"> au CHUJRA. La confidentialité, l’anonymat et le secret professionnel ont été strictement respectés.</w:t>
      </w:r>
    </w:p>
    <w:p w:rsidR="005F20FC" w:rsidRDefault="00191971">
      <w:pPr>
        <w:pStyle w:val="NormalWeb"/>
        <w:spacing w:before="0" w:beforeAutospacing="0" w:after="0" w:afterAutospacing="0"/>
        <w:jc w:val="both"/>
        <w:rPr>
          <w:rFonts w:eastAsia="Segoe UI"/>
          <w:b/>
          <w:bCs/>
          <w:color w:val="0070C0"/>
          <w:sz w:val="20"/>
          <w:szCs w:val="20"/>
          <w:shd w:val="clear" w:color="auto" w:fill="FFFFFF"/>
        </w:rPr>
      </w:pPr>
      <w:r>
        <w:rPr>
          <w:rFonts w:eastAsia="Segoe UI"/>
          <w:b/>
          <w:bCs/>
          <w:color w:val="0070C0"/>
          <w:sz w:val="20"/>
          <w:szCs w:val="20"/>
          <w:shd w:val="clear" w:color="auto" w:fill="FFFFFF"/>
        </w:rPr>
        <w:t xml:space="preserve">Résultats </w:t>
      </w:r>
    </w:p>
    <w:p w:rsidR="005F20FC" w:rsidRDefault="00191971">
      <w:pPr>
        <w:pStyle w:val="NormalWeb"/>
        <w:shd w:val="clear" w:color="auto" w:fill="FFFFFF"/>
        <w:spacing w:before="0" w:beforeAutospacing="0" w:after="0" w:afterAutospacing="0"/>
        <w:ind w:firstLine="708"/>
        <w:jc w:val="both"/>
        <w:rPr>
          <w:sz w:val="20"/>
          <w:szCs w:val="20"/>
        </w:rPr>
      </w:pPr>
      <w:r>
        <w:rPr>
          <w:rFonts w:eastAsia="Segoe UI"/>
          <w:sz w:val="20"/>
          <w:szCs w:val="20"/>
          <w:shd w:val="clear" w:color="auto" w:fill="FFFFFF"/>
        </w:rPr>
        <w:t xml:space="preserve">Durant la période d’étude, sur 3618 admissions en réanimation chirurgicale, 1155 patients (31,9 %) étaient </w:t>
      </w:r>
      <w:proofErr w:type="spellStart"/>
      <w:r>
        <w:rPr>
          <w:rFonts w:eastAsia="Segoe UI"/>
          <w:sz w:val="20"/>
          <w:szCs w:val="20"/>
          <w:shd w:val="clear" w:color="auto" w:fill="FFFFFF"/>
        </w:rPr>
        <w:t>cérébrolésés</w:t>
      </w:r>
      <w:proofErr w:type="spellEnd"/>
      <w:r>
        <w:rPr>
          <w:rFonts w:eastAsia="Segoe UI"/>
          <w:sz w:val="20"/>
          <w:szCs w:val="20"/>
          <w:shd w:val="clear" w:color="auto" w:fill="FFFFFF"/>
        </w:rPr>
        <w:t>. Parmi eux, </w:t>
      </w:r>
      <w:r>
        <w:rPr>
          <w:rStyle w:val="lev"/>
          <w:rFonts w:eastAsia="Segoe UI"/>
          <w:sz w:val="20"/>
          <w:szCs w:val="20"/>
          <w:shd w:val="clear" w:color="auto" w:fill="FFFFFF"/>
        </w:rPr>
        <w:t>55 patients (4,7 %)</w:t>
      </w:r>
      <w:r>
        <w:rPr>
          <w:rFonts w:eastAsia="Segoe UI"/>
          <w:sz w:val="20"/>
          <w:szCs w:val="20"/>
          <w:shd w:val="clear" w:color="auto" w:fill="FFFFFF"/>
        </w:rPr>
        <w:t> ont développé un état de choc septique au cours de leur hospitalisation (Figure 1).</w:t>
      </w:r>
    </w:p>
    <w:p w:rsidR="005F20FC" w:rsidRDefault="00191971">
      <w:pPr>
        <w:pStyle w:val="Paragraphedeliste"/>
        <w:spacing w:after="0" w:line="240" w:lineRule="auto"/>
        <w:ind w:left="0"/>
        <w:jc w:val="both"/>
        <w:rPr>
          <w:rFonts w:ascii="Times New Roman" w:hAnsi="Times New Roman" w:cs="Times New Roman"/>
          <w:sz w:val="20"/>
          <w:szCs w:val="20"/>
        </w:rPr>
      </w:pPr>
      <w:r>
        <w:rPr>
          <w:rFonts w:ascii="Times New Roman" w:hAnsi="Times New Roman" w:cs="Times New Roman"/>
          <w:noProof/>
          <w:sz w:val="20"/>
          <w:szCs w:val="20"/>
          <w:lang w:eastAsia="fr-FR"/>
        </w:rPr>
        <w:drawing>
          <wp:inline distT="0" distB="0" distL="114300" distR="114300">
            <wp:extent cx="2940685" cy="3416300"/>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2"/>
                    <a:stretch>
                      <a:fillRect/>
                    </a:stretch>
                  </pic:blipFill>
                  <pic:spPr>
                    <a:xfrm>
                      <a:off x="0" y="0"/>
                      <a:ext cx="2940685" cy="3416300"/>
                    </a:xfrm>
                    <a:prstGeom prst="rect">
                      <a:avLst/>
                    </a:prstGeom>
                    <a:noFill/>
                    <a:ln>
                      <a:noFill/>
                    </a:ln>
                  </pic:spPr>
                </pic:pic>
              </a:graphicData>
            </a:graphic>
          </wp:inline>
        </w:drawing>
      </w:r>
    </w:p>
    <w:p w:rsidR="005F20FC" w:rsidRDefault="00191971">
      <w:pPr>
        <w:spacing w:after="0" w:line="240" w:lineRule="auto"/>
        <w:jc w:val="both"/>
        <w:rPr>
          <w:rFonts w:ascii="Times New Roman" w:eastAsia="Calibri" w:hAnsi="Times New Roman" w:cs="Times New Roman"/>
          <w:sz w:val="20"/>
          <w:szCs w:val="20"/>
        </w:rPr>
      </w:pPr>
      <w:bookmarkStart w:id="22" w:name="_Toc176359339"/>
      <w:r>
        <w:rPr>
          <w:rFonts w:ascii="Times New Roman" w:hAnsi="Times New Roman" w:cs="Times New Roman"/>
          <w:b/>
          <w:sz w:val="20"/>
          <w:szCs w:val="20"/>
        </w:rPr>
        <w:t>Figure 1 : Diagramme du flux de la population d'étude</w:t>
      </w:r>
      <w:bookmarkEnd w:id="22"/>
    </w:p>
    <w:p w:rsidR="005F20FC" w:rsidRDefault="00191971">
      <w:pPr>
        <w:pStyle w:val="Paragraphedeliste"/>
        <w:spacing w:after="0" w:line="240" w:lineRule="auto"/>
        <w:ind w:left="0"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La tranche d’âge plus touchée était celle entre 60 et 70 ans (40 % n= 17) avec un âge médian de 53 [18 - 78] ans. Une prédominance masculine de 72,7 % (n=40) a été mise en évidence, soit un </w:t>
      </w:r>
      <w:r>
        <w:rPr>
          <w:rFonts w:ascii="Times New Roman" w:eastAsia="Calibri" w:hAnsi="Times New Roman" w:cs="Times New Roman"/>
          <w:i/>
          <w:iCs/>
          <w:sz w:val="20"/>
          <w:szCs w:val="20"/>
        </w:rPr>
        <w:t>sex-ratio</w:t>
      </w:r>
      <w:r>
        <w:rPr>
          <w:rFonts w:ascii="Times New Roman" w:eastAsia="Calibri" w:hAnsi="Times New Roman" w:cs="Times New Roman"/>
          <w:sz w:val="20"/>
          <w:szCs w:val="20"/>
        </w:rPr>
        <w:t xml:space="preserve"> de 2,7. L’alcoolisme (43,6 % ; n= 24) et l’hypertension artérielle (38,2 % ; n= 21) ont été les principaux antécédents identifiés. La majorité des patients ont été opérés ou admis en postopératoire. La craniectomie </w:t>
      </w:r>
      <w:proofErr w:type="spellStart"/>
      <w:r>
        <w:rPr>
          <w:rFonts w:ascii="Times New Roman" w:eastAsia="Calibri" w:hAnsi="Times New Roman" w:cs="Times New Roman"/>
          <w:sz w:val="20"/>
          <w:szCs w:val="20"/>
        </w:rPr>
        <w:t>décompressive</w:t>
      </w:r>
      <w:proofErr w:type="spellEnd"/>
      <w:r>
        <w:rPr>
          <w:rFonts w:ascii="Times New Roman" w:eastAsia="Calibri" w:hAnsi="Times New Roman" w:cs="Times New Roman"/>
          <w:sz w:val="20"/>
          <w:szCs w:val="20"/>
        </w:rPr>
        <w:t xml:space="preserve"> (36,4 % ; n= 20) ; l’évacuation d’un HIP (21,8 % ; n= 12) et d’un HSD (20 % ; n= 11) ont été les principales interventions chirurgicales constatées (figure 2). L’HSDA (Hématome Sous-Dural Aigu) (23,6 % ; n= 13) a été le motif d’admission d’origine traumatique le plus identifié. L’AVC (Accident </w:t>
      </w:r>
      <w:r>
        <w:rPr>
          <w:rFonts w:ascii="Times New Roman" w:eastAsia="Calibri" w:hAnsi="Times New Roman" w:cs="Times New Roman"/>
          <w:sz w:val="20"/>
          <w:szCs w:val="20"/>
        </w:rPr>
        <w:lastRenderedPageBreak/>
        <w:t>Vasculaire Cérébral Hémorragique) (40 % ; n= 22) a été le motif non traumatique le plus observé.</w:t>
      </w:r>
    </w:p>
    <w:p w:rsidR="005F20FC" w:rsidRDefault="005F20FC">
      <w:pPr>
        <w:pStyle w:val="Paragraphedeliste"/>
        <w:spacing w:after="0" w:line="240" w:lineRule="auto"/>
        <w:ind w:left="0" w:firstLine="708"/>
        <w:jc w:val="both"/>
        <w:rPr>
          <w:rFonts w:ascii="Times New Roman" w:eastAsia="Calibri" w:hAnsi="Times New Roman" w:cs="Times New Roman"/>
          <w:sz w:val="20"/>
          <w:szCs w:val="20"/>
        </w:rPr>
      </w:pPr>
    </w:p>
    <w:p w:rsidR="005F20FC" w:rsidRDefault="00191971">
      <w:pPr>
        <w:pStyle w:val="NormalWeb"/>
        <w:shd w:val="clear" w:color="auto" w:fill="FFFFFF"/>
        <w:spacing w:before="0" w:beforeAutospacing="0" w:after="0" w:afterAutospacing="0"/>
        <w:jc w:val="both"/>
        <w:rPr>
          <w:rFonts w:eastAsia="Segoe UI"/>
          <w:sz w:val="20"/>
          <w:szCs w:val="20"/>
          <w:shd w:val="clear" w:color="auto" w:fill="FFFFFF"/>
        </w:rPr>
      </w:pPr>
      <w:r>
        <w:rPr>
          <w:rFonts w:eastAsia="Calibri"/>
          <w:noProof/>
          <w:sz w:val="20"/>
          <w:szCs w:val="20"/>
          <w:lang w:eastAsia="fr-FR"/>
        </w:rPr>
        <w:drawing>
          <wp:inline distT="0" distB="0" distL="114300" distR="114300">
            <wp:extent cx="2928620" cy="2237105"/>
            <wp:effectExtent l="0" t="0" r="5080" b="10795"/>
            <wp:docPr id="1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20FC" w:rsidRDefault="005F20FC">
      <w:pPr>
        <w:pStyle w:val="NormalWeb"/>
        <w:shd w:val="clear" w:color="auto" w:fill="FFFFFF"/>
        <w:spacing w:before="0" w:beforeAutospacing="0" w:after="0" w:afterAutospacing="0"/>
        <w:jc w:val="both"/>
        <w:rPr>
          <w:rFonts w:eastAsia="Segoe UI"/>
          <w:sz w:val="20"/>
          <w:szCs w:val="20"/>
          <w:shd w:val="clear" w:color="auto" w:fill="FFFFFF"/>
        </w:rPr>
      </w:pPr>
    </w:p>
    <w:p w:rsidR="005F20FC" w:rsidRDefault="00191971">
      <w:pPr>
        <w:spacing w:after="0" w:line="240" w:lineRule="auto"/>
        <w:jc w:val="both"/>
        <w:rPr>
          <w:rFonts w:ascii="Times New Roman" w:eastAsia="Calibri" w:hAnsi="Times New Roman" w:cs="Times New Roman"/>
          <w:b/>
          <w:iCs/>
          <w:sz w:val="20"/>
          <w:szCs w:val="20"/>
        </w:rPr>
      </w:pPr>
      <w:bookmarkStart w:id="23" w:name="_Toc176359343"/>
      <w:r>
        <w:rPr>
          <w:rFonts w:ascii="Times New Roman" w:eastAsia="Calibri" w:hAnsi="Times New Roman" w:cs="Times New Roman"/>
          <w:b/>
          <w:iCs/>
          <w:sz w:val="20"/>
          <w:szCs w:val="20"/>
        </w:rPr>
        <w:t>Figure 2 : Motifs d'entrée</w:t>
      </w:r>
      <w:bookmarkEnd w:id="23"/>
      <w:r>
        <w:rPr>
          <w:rFonts w:ascii="Times New Roman" w:eastAsia="Calibri" w:hAnsi="Times New Roman" w:cs="Times New Roman"/>
          <w:b/>
          <w:iCs/>
          <w:sz w:val="20"/>
          <w:szCs w:val="20"/>
        </w:rPr>
        <w:t xml:space="preserve"> des patients</w:t>
      </w:r>
    </w:p>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b/>
          <w:iCs/>
          <w:sz w:val="20"/>
          <w:szCs w:val="20"/>
        </w:rPr>
        <w:tab/>
      </w:r>
      <w:r>
        <w:rPr>
          <w:rFonts w:ascii="Times New Roman" w:eastAsia="Calibri" w:hAnsi="Times New Roman" w:cs="Times New Roman"/>
          <w:sz w:val="20"/>
          <w:szCs w:val="20"/>
        </w:rPr>
        <w:t>Le délai d’apparition de l’état de choc septique a été p</w:t>
      </w:r>
      <w:r>
        <w:rPr>
          <w:rFonts w:ascii="Times New Roman" w:eastAsia="Segoe UI" w:hAnsi="Times New Roman" w:cs="Times New Roman"/>
          <w:sz w:val="20"/>
          <w:szCs w:val="20"/>
          <w:shd w:val="clear" w:color="auto" w:fill="FFFFFF"/>
        </w:rPr>
        <w:t>rincipalement entre le </w:t>
      </w:r>
      <w:r>
        <w:rPr>
          <w:rStyle w:val="lev"/>
          <w:rFonts w:ascii="Times New Roman" w:eastAsia="Segoe UI" w:hAnsi="Times New Roman" w:cs="Times New Roman"/>
          <w:sz w:val="20"/>
          <w:szCs w:val="20"/>
          <w:shd w:val="clear" w:color="auto" w:fill="FFFFFF"/>
        </w:rPr>
        <w:t>7</w:t>
      </w:r>
      <w:r>
        <w:rPr>
          <w:rStyle w:val="lev"/>
          <w:rFonts w:ascii="Times New Roman" w:eastAsia="Segoe UI" w:hAnsi="Times New Roman" w:cs="Times New Roman"/>
          <w:sz w:val="20"/>
          <w:szCs w:val="20"/>
          <w:shd w:val="clear" w:color="auto" w:fill="FFFFFF"/>
          <w:vertAlign w:val="superscript"/>
        </w:rPr>
        <w:t>ème</w:t>
      </w:r>
      <w:r>
        <w:rPr>
          <w:rStyle w:val="lev"/>
          <w:rFonts w:ascii="Times New Roman" w:eastAsia="Segoe UI" w:hAnsi="Times New Roman" w:cs="Times New Roman"/>
          <w:sz w:val="20"/>
          <w:szCs w:val="20"/>
          <w:shd w:val="clear" w:color="auto" w:fill="FFFFFF"/>
        </w:rPr>
        <w:t xml:space="preserve"> et le 14</w:t>
      </w:r>
      <w:r>
        <w:rPr>
          <w:rStyle w:val="lev"/>
          <w:rFonts w:ascii="Times New Roman" w:eastAsia="Segoe UI" w:hAnsi="Times New Roman" w:cs="Times New Roman"/>
          <w:sz w:val="20"/>
          <w:szCs w:val="20"/>
          <w:shd w:val="clear" w:color="auto" w:fill="FFFFFF"/>
          <w:vertAlign w:val="superscript"/>
        </w:rPr>
        <w:t>ème</w:t>
      </w:r>
      <w:r>
        <w:rPr>
          <w:rStyle w:val="lev"/>
          <w:rFonts w:ascii="Times New Roman" w:eastAsia="Segoe UI" w:hAnsi="Times New Roman" w:cs="Times New Roman"/>
          <w:sz w:val="20"/>
          <w:szCs w:val="20"/>
          <w:shd w:val="clear" w:color="auto" w:fill="FFFFFF"/>
        </w:rPr>
        <w:t xml:space="preserve"> jour</w:t>
      </w:r>
      <w:r>
        <w:rPr>
          <w:rFonts w:ascii="Times New Roman" w:eastAsia="Segoe UI" w:hAnsi="Times New Roman" w:cs="Times New Roman"/>
          <w:sz w:val="20"/>
          <w:szCs w:val="20"/>
          <w:shd w:val="clear" w:color="auto" w:fill="FFFFFF"/>
        </w:rPr>
        <w:t> (40 %, n=22). La durée médiane était de 12 [1-47] jours.</w:t>
      </w:r>
    </w:p>
    <w:p w:rsidR="005F20FC" w:rsidRDefault="00191971">
      <w:pPr>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Une chute médiane de la tension artérielle systolique de 50 </w:t>
      </w:r>
      <w:proofErr w:type="spellStart"/>
      <w:r>
        <w:rPr>
          <w:rFonts w:ascii="Times New Roman" w:eastAsia="Calibri" w:hAnsi="Times New Roman" w:cs="Times New Roman"/>
          <w:sz w:val="20"/>
          <w:szCs w:val="20"/>
        </w:rPr>
        <w:t>mmHg</w:t>
      </w:r>
      <w:proofErr w:type="spellEnd"/>
      <w:r>
        <w:rPr>
          <w:rFonts w:ascii="Times New Roman" w:eastAsia="Calibri" w:hAnsi="Times New Roman" w:cs="Times New Roman"/>
          <w:sz w:val="20"/>
          <w:szCs w:val="20"/>
        </w:rPr>
        <w:t xml:space="preserve"> et de la tension artérielle diastolique de 20 </w:t>
      </w:r>
      <w:proofErr w:type="spellStart"/>
      <w:r>
        <w:rPr>
          <w:rFonts w:ascii="Times New Roman" w:eastAsia="Calibri" w:hAnsi="Times New Roman" w:cs="Times New Roman"/>
          <w:sz w:val="20"/>
          <w:szCs w:val="20"/>
        </w:rPr>
        <w:t>mmHg</w:t>
      </w:r>
      <w:proofErr w:type="spellEnd"/>
      <w:r>
        <w:rPr>
          <w:rFonts w:ascii="Times New Roman" w:eastAsia="Calibri" w:hAnsi="Times New Roman" w:cs="Times New Roman"/>
          <w:sz w:val="20"/>
          <w:szCs w:val="20"/>
        </w:rPr>
        <w:t xml:space="preserve"> ont été mises en évidence au moment du choc septique avec une augmentation de la fréquence cardiaque médiane. La température médiane a augmenté de 1,6 °C. L’état neurologique ont resté stable sans aggravation des signes </w:t>
      </w:r>
      <w:proofErr w:type="gramStart"/>
      <w:r>
        <w:rPr>
          <w:rFonts w:ascii="Times New Roman" w:eastAsia="Calibri" w:hAnsi="Times New Roman" w:cs="Times New Roman"/>
          <w:sz w:val="20"/>
          <w:szCs w:val="20"/>
        </w:rPr>
        <w:t>focaux  (</w:t>
      </w:r>
      <w:proofErr w:type="gramEnd"/>
      <w:r>
        <w:rPr>
          <w:rFonts w:ascii="Times New Roman" w:eastAsia="Calibri" w:hAnsi="Times New Roman" w:cs="Times New Roman"/>
          <w:sz w:val="20"/>
          <w:szCs w:val="20"/>
        </w:rPr>
        <w:t>Tableau I).</w:t>
      </w:r>
    </w:p>
    <w:p w:rsidR="005F20FC" w:rsidRDefault="00191971">
      <w:pPr>
        <w:spacing w:after="0" w:line="240" w:lineRule="auto"/>
        <w:jc w:val="both"/>
        <w:rPr>
          <w:rFonts w:ascii="Times New Roman" w:eastAsia="Calibri" w:hAnsi="Times New Roman" w:cs="Times New Roman"/>
          <w:b/>
          <w:iCs/>
          <w:sz w:val="20"/>
          <w:szCs w:val="20"/>
        </w:rPr>
      </w:pPr>
      <w:bookmarkStart w:id="24" w:name="_Toc176359517"/>
      <w:r>
        <w:rPr>
          <w:rFonts w:ascii="Times New Roman" w:eastAsia="Calibri" w:hAnsi="Times New Roman" w:cs="Times New Roman"/>
          <w:b/>
          <w:iCs/>
          <w:sz w:val="20"/>
          <w:szCs w:val="20"/>
        </w:rPr>
        <w:t xml:space="preserve">Tableau </w:t>
      </w:r>
      <w:r w:rsidR="00F07FC5">
        <w:rPr>
          <w:rFonts w:ascii="Times New Roman" w:eastAsia="Calibri" w:hAnsi="Times New Roman" w:cs="Times New Roman"/>
          <w:b/>
          <w:iCs/>
          <w:sz w:val="20"/>
          <w:szCs w:val="20"/>
        </w:rPr>
        <w:fldChar w:fldCharType="begin"/>
      </w:r>
      <w:r>
        <w:rPr>
          <w:rFonts w:ascii="Times New Roman" w:eastAsia="Calibri" w:hAnsi="Times New Roman" w:cs="Times New Roman"/>
          <w:b/>
          <w:iCs/>
          <w:sz w:val="20"/>
          <w:szCs w:val="20"/>
        </w:rPr>
        <w:instrText xml:space="preserve"> SEQ Tableau \* ROMAN </w:instrText>
      </w:r>
      <w:r w:rsidR="00F07FC5">
        <w:rPr>
          <w:rFonts w:ascii="Times New Roman" w:eastAsia="Calibri" w:hAnsi="Times New Roman" w:cs="Times New Roman"/>
          <w:b/>
          <w:iCs/>
          <w:sz w:val="20"/>
          <w:szCs w:val="20"/>
        </w:rPr>
        <w:fldChar w:fldCharType="separate"/>
      </w:r>
      <w:r>
        <w:rPr>
          <w:rFonts w:ascii="Times New Roman" w:eastAsia="Calibri" w:hAnsi="Times New Roman" w:cs="Times New Roman"/>
          <w:b/>
          <w:iCs/>
          <w:sz w:val="20"/>
          <w:szCs w:val="20"/>
        </w:rPr>
        <w:t>I</w:t>
      </w:r>
      <w:r w:rsidR="00F07FC5">
        <w:rPr>
          <w:rFonts w:ascii="Times New Roman" w:eastAsia="Calibri" w:hAnsi="Times New Roman" w:cs="Times New Roman"/>
          <w:b/>
          <w:iCs/>
          <w:sz w:val="20"/>
          <w:szCs w:val="20"/>
        </w:rPr>
        <w:fldChar w:fldCharType="end"/>
      </w:r>
      <w:r>
        <w:rPr>
          <w:rFonts w:ascii="Times New Roman" w:eastAsia="Calibri" w:hAnsi="Times New Roman" w:cs="Times New Roman"/>
          <w:b/>
          <w:iCs/>
          <w:sz w:val="20"/>
          <w:szCs w:val="20"/>
        </w:rPr>
        <w:t>:  Les paramètres vitaux</w:t>
      </w:r>
      <w:bookmarkEnd w:id="24"/>
      <w:r>
        <w:rPr>
          <w:rFonts w:ascii="Times New Roman" w:eastAsia="Calibri" w:hAnsi="Times New Roman" w:cs="Times New Roman"/>
          <w:b/>
          <w:iCs/>
          <w:sz w:val="20"/>
          <w:szCs w:val="20"/>
        </w:rPr>
        <w:t xml:space="preserve"> des patients</w:t>
      </w:r>
    </w:p>
    <w:tbl>
      <w:tblPr>
        <w:tblW w:w="4964" w:type="pct"/>
        <w:tblLayout w:type="fixed"/>
        <w:tblCellMar>
          <w:left w:w="70" w:type="dxa"/>
          <w:right w:w="70" w:type="dxa"/>
        </w:tblCellMar>
        <w:tblLook w:val="04A0" w:firstRow="1" w:lastRow="0" w:firstColumn="1" w:lastColumn="0" w:noHBand="0" w:noVBand="1"/>
      </w:tblPr>
      <w:tblGrid>
        <w:gridCol w:w="1391"/>
        <w:gridCol w:w="1520"/>
        <w:gridCol w:w="1380"/>
      </w:tblGrid>
      <w:tr w:rsidR="005F20FC">
        <w:trPr>
          <w:trHeight w:val="403"/>
        </w:trPr>
        <w:tc>
          <w:tcPr>
            <w:tcW w:w="1620" w:type="pct"/>
            <w:tcBorders>
              <w:top w:val="single" w:sz="4" w:space="0" w:color="auto"/>
              <w:bottom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Paramètres vitaux</w:t>
            </w:r>
          </w:p>
        </w:tc>
        <w:tc>
          <w:tcPr>
            <w:tcW w:w="1771" w:type="pct"/>
            <w:tcBorders>
              <w:top w:val="single" w:sz="4" w:space="0" w:color="auto"/>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A l'entrée</w:t>
            </w:r>
          </w:p>
        </w:tc>
        <w:tc>
          <w:tcPr>
            <w:tcW w:w="1608" w:type="pct"/>
            <w:tcBorders>
              <w:top w:val="single" w:sz="4" w:space="0" w:color="auto"/>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Pendant le choc septique</w:t>
            </w:r>
          </w:p>
        </w:tc>
      </w:tr>
      <w:tr w:rsidR="005F20FC">
        <w:trPr>
          <w:trHeight w:val="403"/>
        </w:trPr>
        <w:tc>
          <w:tcPr>
            <w:tcW w:w="1620" w:type="pct"/>
            <w:noWrap/>
            <w:vAlign w:val="bottom"/>
          </w:tcPr>
          <w:p w:rsidR="005F20FC" w:rsidRDefault="00191971">
            <w:pPr>
              <w:spacing w:after="0" w:line="240" w:lineRule="auto"/>
              <w:ind w:firstLineChars="100" w:firstLine="2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TAS* médiane en </w:t>
            </w:r>
            <w:proofErr w:type="spellStart"/>
            <w:r>
              <w:rPr>
                <w:rFonts w:ascii="Times New Roman" w:eastAsia="Times New Roman" w:hAnsi="Times New Roman" w:cs="Times New Roman"/>
                <w:sz w:val="20"/>
                <w:szCs w:val="20"/>
                <w:lang w:eastAsia="fr-FR"/>
              </w:rPr>
              <w:t>mmHg</w:t>
            </w:r>
            <w:proofErr w:type="spellEnd"/>
            <w:r>
              <w:rPr>
                <w:rFonts w:ascii="Times New Roman" w:eastAsia="Times New Roman" w:hAnsi="Times New Roman" w:cs="Times New Roman"/>
                <w:sz w:val="20"/>
                <w:szCs w:val="20"/>
                <w:lang w:eastAsia="fr-FR"/>
              </w:rPr>
              <w:t xml:space="preserve"> [IQR*]</w:t>
            </w:r>
          </w:p>
        </w:tc>
        <w:tc>
          <w:tcPr>
            <w:tcW w:w="177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130 [110 - 150]</w:t>
            </w:r>
          </w:p>
        </w:tc>
        <w:tc>
          <w:tcPr>
            <w:tcW w:w="1608"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80 [80 - 90]</w:t>
            </w:r>
          </w:p>
        </w:tc>
      </w:tr>
      <w:tr w:rsidR="005F20FC">
        <w:trPr>
          <w:trHeight w:val="394"/>
        </w:trPr>
        <w:tc>
          <w:tcPr>
            <w:tcW w:w="1620" w:type="pct"/>
            <w:noWrap/>
            <w:vAlign w:val="bottom"/>
          </w:tcPr>
          <w:p w:rsidR="005F20FC" w:rsidRDefault="00191971">
            <w:pPr>
              <w:spacing w:after="0" w:line="240" w:lineRule="auto"/>
              <w:ind w:firstLineChars="100" w:firstLine="2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TAD* médiane en </w:t>
            </w:r>
            <w:proofErr w:type="spellStart"/>
            <w:r>
              <w:rPr>
                <w:rFonts w:ascii="Times New Roman" w:eastAsia="Times New Roman" w:hAnsi="Times New Roman" w:cs="Times New Roman"/>
                <w:sz w:val="20"/>
                <w:szCs w:val="20"/>
                <w:lang w:eastAsia="fr-FR"/>
              </w:rPr>
              <w:t>mmHg</w:t>
            </w:r>
            <w:proofErr w:type="spellEnd"/>
            <w:r>
              <w:rPr>
                <w:rFonts w:ascii="Times New Roman" w:eastAsia="Times New Roman" w:hAnsi="Times New Roman" w:cs="Times New Roman"/>
                <w:sz w:val="20"/>
                <w:szCs w:val="20"/>
                <w:lang w:eastAsia="fr-FR"/>
              </w:rPr>
              <w:t xml:space="preserve"> [IQR]</w:t>
            </w:r>
          </w:p>
        </w:tc>
        <w:tc>
          <w:tcPr>
            <w:tcW w:w="177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80 [80 - 90]</w:t>
            </w:r>
          </w:p>
        </w:tc>
        <w:tc>
          <w:tcPr>
            <w:tcW w:w="1608"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60 [50 - 60]</w:t>
            </w:r>
          </w:p>
        </w:tc>
      </w:tr>
      <w:tr w:rsidR="005F20FC">
        <w:trPr>
          <w:trHeight w:val="394"/>
        </w:trPr>
        <w:tc>
          <w:tcPr>
            <w:tcW w:w="1620" w:type="pct"/>
            <w:noWrap/>
            <w:vAlign w:val="bottom"/>
          </w:tcPr>
          <w:p w:rsidR="005F20FC" w:rsidRDefault="00191971">
            <w:pPr>
              <w:spacing w:after="0" w:line="240" w:lineRule="auto"/>
              <w:ind w:firstLineChars="100" w:firstLine="2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FC* médiane / min [IQR]</w:t>
            </w:r>
          </w:p>
        </w:tc>
        <w:tc>
          <w:tcPr>
            <w:tcW w:w="177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97 [80 - 108]</w:t>
            </w:r>
          </w:p>
        </w:tc>
        <w:tc>
          <w:tcPr>
            <w:tcW w:w="1608"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100 [88 - 119]</w:t>
            </w:r>
          </w:p>
        </w:tc>
      </w:tr>
      <w:tr w:rsidR="005F20FC">
        <w:trPr>
          <w:trHeight w:val="394"/>
        </w:trPr>
        <w:tc>
          <w:tcPr>
            <w:tcW w:w="1620" w:type="pct"/>
            <w:noWrap/>
            <w:vAlign w:val="bottom"/>
          </w:tcPr>
          <w:p w:rsidR="005F20FC" w:rsidRDefault="00191971">
            <w:pPr>
              <w:spacing w:after="0" w:line="240" w:lineRule="auto"/>
              <w:ind w:firstLineChars="100" w:firstLine="2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FR* médiane / min [IQR]</w:t>
            </w:r>
          </w:p>
        </w:tc>
        <w:tc>
          <w:tcPr>
            <w:tcW w:w="177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21 [19 - 24]</w:t>
            </w:r>
          </w:p>
        </w:tc>
        <w:tc>
          <w:tcPr>
            <w:tcW w:w="1608"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22,5 [20 - 28]</w:t>
            </w:r>
          </w:p>
        </w:tc>
      </w:tr>
      <w:tr w:rsidR="005F20FC">
        <w:trPr>
          <w:trHeight w:val="394"/>
        </w:trPr>
        <w:tc>
          <w:tcPr>
            <w:tcW w:w="1620" w:type="pct"/>
            <w:noWrap/>
            <w:vAlign w:val="bottom"/>
          </w:tcPr>
          <w:p w:rsidR="005F20FC" w:rsidRDefault="00191971">
            <w:pPr>
              <w:spacing w:after="0" w:line="240" w:lineRule="auto"/>
              <w:ind w:firstLineChars="100" w:firstLine="2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Température médiane en °C [IQR]</w:t>
            </w:r>
          </w:p>
        </w:tc>
        <w:tc>
          <w:tcPr>
            <w:tcW w:w="177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37 [36,4 - 37,2]</w:t>
            </w:r>
          </w:p>
        </w:tc>
        <w:tc>
          <w:tcPr>
            <w:tcW w:w="1608"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38,6 [38 - 39]</w:t>
            </w:r>
          </w:p>
        </w:tc>
      </w:tr>
      <w:tr w:rsidR="005F20FC">
        <w:trPr>
          <w:trHeight w:val="394"/>
        </w:trPr>
        <w:tc>
          <w:tcPr>
            <w:tcW w:w="1620" w:type="pct"/>
            <w:noWrap/>
            <w:vAlign w:val="bottom"/>
          </w:tcPr>
          <w:p w:rsidR="005F20FC" w:rsidRDefault="00191971">
            <w:pPr>
              <w:spacing w:after="0" w:line="240" w:lineRule="auto"/>
              <w:ind w:firstLineChars="100" w:firstLine="2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SpO</w:t>
            </w:r>
            <w:r>
              <w:rPr>
                <w:rFonts w:ascii="Times New Roman" w:eastAsia="Times New Roman" w:hAnsi="Times New Roman" w:cs="Times New Roman"/>
                <w:sz w:val="20"/>
                <w:szCs w:val="20"/>
                <w:vertAlign w:val="subscript"/>
                <w:lang w:eastAsia="fr-FR"/>
              </w:rPr>
              <w:t>2</w:t>
            </w:r>
            <w:r>
              <w:rPr>
                <w:rFonts w:ascii="Times New Roman" w:eastAsia="Times New Roman" w:hAnsi="Times New Roman" w:cs="Times New Roman"/>
                <w:sz w:val="20"/>
                <w:szCs w:val="20"/>
                <w:lang w:eastAsia="fr-FR"/>
              </w:rPr>
              <w:t>* médiane en % [IQR]</w:t>
            </w:r>
          </w:p>
        </w:tc>
        <w:tc>
          <w:tcPr>
            <w:tcW w:w="177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96 [95 - 98]</w:t>
            </w:r>
          </w:p>
        </w:tc>
        <w:tc>
          <w:tcPr>
            <w:tcW w:w="1608"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96 [93 - 98]</w:t>
            </w:r>
          </w:p>
        </w:tc>
      </w:tr>
      <w:tr w:rsidR="005F20FC">
        <w:trPr>
          <w:trHeight w:val="403"/>
        </w:trPr>
        <w:tc>
          <w:tcPr>
            <w:tcW w:w="1620" w:type="pct"/>
            <w:tcBorders>
              <w:bottom w:val="single" w:sz="4" w:space="0" w:color="auto"/>
            </w:tcBorders>
            <w:noWrap/>
            <w:vAlign w:val="bottom"/>
          </w:tcPr>
          <w:p w:rsidR="005F20FC" w:rsidRDefault="00191971">
            <w:pPr>
              <w:spacing w:after="0" w:line="240" w:lineRule="auto"/>
              <w:ind w:firstLineChars="100" w:firstLine="2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GCS* médian / 15 [IQR]</w:t>
            </w:r>
          </w:p>
        </w:tc>
        <w:tc>
          <w:tcPr>
            <w:tcW w:w="1771" w:type="pct"/>
            <w:tcBorders>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 [6 - 11]</w:t>
            </w:r>
          </w:p>
        </w:tc>
        <w:tc>
          <w:tcPr>
            <w:tcW w:w="1608" w:type="pct"/>
            <w:tcBorders>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8 [6 - 11]</w:t>
            </w:r>
          </w:p>
        </w:tc>
      </w:tr>
    </w:tbl>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iCs/>
          <w:sz w:val="20"/>
          <w:szCs w:val="20"/>
        </w:rPr>
        <w:t>*IQR : Intervalle interquartile, TAS : Tension artérielle systolique, TAD : Tension artérielle diastolique, FC : Fréquence cardiaque, FR : Fréquence respiratoire</w:t>
      </w:r>
    </w:p>
    <w:p w:rsidR="005F20FC" w:rsidRDefault="00191971">
      <w:pPr>
        <w:pStyle w:val="NormalWeb"/>
        <w:spacing w:before="0" w:beforeAutospacing="0" w:after="0" w:afterAutospacing="0"/>
        <w:jc w:val="both"/>
        <w:rPr>
          <w:rFonts w:eastAsia="Segoe UI"/>
          <w:sz w:val="20"/>
          <w:szCs w:val="20"/>
          <w:shd w:val="clear" w:color="auto" w:fill="FFFFFF"/>
        </w:rPr>
      </w:pPr>
      <w:r>
        <w:rPr>
          <w:rFonts w:eastAsia="Calibri"/>
          <w:sz w:val="20"/>
          <w:szCs w:val="20"/>
        </w:rPr>
        <w:lastRenderedPageBreak/>
        <w:t xml:space="preserve">Une augmentation des signes respiratoires anormaux constitués principalement par les </w:t>
      </w:r>
      <w:proofErr w:type="spellStart"/>
      <w:r>
        <w:rPr>
          <w:rFonts w:eastAsia="Calibri"/>
          <w:sz w:val="20"/>
          <w:szCs w:val="20"/>
        </w:rPr>
        <w:t>ronchi</w:t>
      </w:r>
      <w:proofErr w:type="spellEnd"/>
      <w:r>
        <w:rPr>
          <w:rFonts w:eastAsia="Calibri"/>
          <w:sz w:val="20"/>
          <w:szCs w:val="20"/>
        </w:rPr>
        <w:t xml:space="preserve"> (11 % à l’entrée </w:t>
      </w:r>
      <w:r>
        <w:rPr>
          <w:rFonts w:eastAsia="Calibri"/>
          <w:i/>
          <w:iCs/>
          <w:sz w:val="20"/>
          <w:szCs w:val="20"/>
        </w:rPr>
        <w:t>vs</w:t>
      </w:r>
      <w:r>
        <w:rPr>
          <w:rFonts w:eastAsia="Calibri"/>
          <w:sz w:val="20"/>
          <w:szCs w:val="20"/>
        </w:rPr>
        <w:t xml:space="preserve"> 41,8 % au moment du choc) a été objectivée. Des cas d’oligurie ont été observés pendant le choc septique (18,2 % ; n= 10) avec une chute médiane de la diurèse de 400 </w:t>
      </w:r>
      <w:proofErr w:type="spellStart"/>
      <w:r>
        <w:rPr>
          <w:rFonts w:eastAsia="Calibri"/>
          <w:sz w:val="20"/>
          <w:szCs w:val="20"/>
        </w:rPr>
        <w:t>mL</w:t>
      </w:r>
      <w:proofErr w:type="spellEnd"/>
      <w:r>
        <w:rPr>
          <w:rFonts w:eastAsia="Calibri"/>
          <w:sz w:val="20"/>
          <w:szCs w:val="20"/>
        </w:rPr>
        <w:t>/24 H. La proportion de la diurèse normale a également augmenté (Tableau II).</w:t>
      </w:r>
    </w:p>
    <w:p w:rsidR="005F20FC" w:rsidRDefault="005F20FC">
      <w:pPr>
        <w:pStyle w:val="NormalWeb"/>
        <w:spacing w:before="0" w:beforeAutospacing="0" w:after="0" w:afterAutospacing="0"/>
        <w:jc w:val="both"/>
        <w:rPr>
          <w:rFonts w:eastAsia="Segoe UI"/>
          <w:sz w:val="20"/>
          <w:szCs w:val="20"/>
          <w:shd w:val="clear" w:color="auto" w:fill="FFFFFF"/>
        </w:rPr>
      </w:pPr>
    </w:p>
    <w:p w:rsidR="005F20FC" w:rsidRDefault="00191971">
      <w:pPr>
        <w:spacing w:after="0" w:line="240" w:lineRule="auto"/>
        <w:jc w:val="both"/>
        <w:rPr>
          <w:rFonts w:ascii="Times New Roman" w:eastAsia="Calibri" w:hAnsi="Times New Roman" w:cs="Times New Roman"/>
          <w:b/>
          <w:iCs/>
          <w:sz w:val="20"/>
          <w:szCs w:val="20"/>
        </w:rPr>
      </w:pPr>
      <w:r>
        <w:rPr>
          <w:rFonts w:ascii="Times New Roman" w:eastAsia="Calibri" w:hAnsi="Times New Roman" w:cs="Times New Roman"/>
          <w:b/>
          <w:iCs/>
          <w:sz w:val="20"/>
          <w:szCs w:val="20"/>
        </w:rPr>
        <w:t xml:space="preserve">Tableau II : Les signes cliniques à l’entrée et pendant l’état de choc </w:t>
      </w:r>
    </w:p>
    <w:tbl>
      <w:tblPr>
        <w:tblW w:w="4836" w:type="pct"/>
        <w:tblLayout w:type="fixed"/>
        <w:tblCellMar>
          <w:left w:w="70" w:type="dxa"/>
          <w:right w:w="70" w:type="dxa"/>
        </w:tblCellMar>
        <w:tblLook w:val="04A0" w:firstRow="1" w:lastRow="0" w:firstColumn="1" w:lastColumn="0" w:noHBand="0" w:noVBand="1"/>
      </w:tblPr>
      <w:tblGrid>
        <w:gridCol w:w="1419"/>
        <w:gridCol w:w="630"/>
        <w:gridCol w:w="640"/>
        <w:gridCol w:w="720"/>
        <w:gridCol w:w="771"/>
      </w:tblGrid>
      <w:tr w:rsidR="005F20FC">
        <w:trPr>
          <w:trHeight w:val="320"/>
        </w:trPr>
        <w:tc>
          <w:tcPr>
            <w:tcW w:w="1699" w:type="pct"/>
            <w:vMerge w:val="restart"/>
            <w:tcBorders>
              <w:top w:val="single" w:sz="4" w:space="0" w:color="auto"/>
              <w:bottom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Signes cliniques</w:t>
            </w:r>
          </w:p>
        </w:tc>
        <w:tc>
          <w:tcPr>
            <w:tcW w:w="1518" w:type="pct"/>
            <w:gridSpan w:val="2"/>
            <w:tcBorders>
              <w:top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A l'entrée</w:t>
            </w:r>
          </w:p>
        </w:tc>
        <w:tc>
          <w:tcPr>
            <w:tcW w:w="1781" w:type="pct"/>
            <w:gridSpan w:val="2"/>
            <w:tcBorders>
              <w:top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 xml:space="preserve">Pendant le choc </w:t>
            </w:r>
          </w:p>
        </w:tc>
      </w:tr>
      <w:tr w:rsidR="005F20FC">
        <w:trPr>
          <w:trHeight w:val="320"/>
        </w:trPr>
        <w:tc>
          <w:tcPr>
            <w:tcW w:w="1699" w:type="pct"/>
            <w:vMerge/>
            <w:tcBorders>
              <w:bottom w:val="single" w:sz="4" w:space="0" w:color="auto"/>
            </w:tcBorders>
            <w:vAlign w:val="center"/>
          </w:tcPr>
          <w:p w:rsidR="005F20FC" w:rsidRDefault="005F20FC">
            <w:pPr>
              <w:spacing w:after="0" w:line="240" w:lineRule="auto"/>
              <w:jc w:val="both"/>
              <w:rPr>
                <w:rFonts w:ascii="Times New Roman" w:eastAsia="Times New Roman" w:hAnsi="Times New Roman" w:cs="Times New Roman"/>
                <w:b/>
                <w:bCs/>
                <w:sz w:val="20"/>
                <w:szCs w:val="20"/>
                <w:lang w:eastAsia="fr-FR"/>
              </w:rPr>
            </w:pPr>
          </w:p>
        </w:tc>
        <w:tc>
          <w:tcPr>
            <w:tcW w:w="753" w:type="pct"/>
            <w:tcBorders>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n</w:t>
            </w:r>
          </w:p>
        </w:tc>
        <w:tc>
          <w:tcPr>
            <w:tcW w:w="765" w:type="pct"/>
            <w:tcBorders>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w:t>
            </w:r>
          </w:p>
        </w:tc>
        <w:tc>
          <w:tcPr>
            <w:tcW w:w="861" w:type="pct"/>
            <w:tcBorders>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n</w:t>
            </w:r>
          </w:p>
        </w:tc>
        <w:tc>
          <w:tcPr>
            <w:tcW w:w="920" w:type="pct"/>
            <w:tcBorders>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w:t>
            </w:r>
          </w:p>
        </w:tc>
      </w:tr>
      <w:tr w:rsidR="005F20FC">
        <w:trPr>
          <w:trHeight w:val="320"/>
        </w:trPr>
        <w:tc>
          <w:tcPr>
            <w:tcW w:w="5000" w:type="pct"/>
            <w:gridSpan w:val="5"/>
            <w:tcBorders>
              <w:top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b/>
                <w:bCs/>
                <w:sz w:val="20"/>
                <w:szCs w:val="20"/>
                <w:lang w:eastAsia="fr-FR"/>
              </w:rPr>
              <w:t>Signes neurologiques</w:t>
            </w:r>
            <w:r>
              <w:rPr>
                <w:rFonts w:ascii="Times New Roman" w:eastAsia="Times New Roman" w:hAnsi="Times New Roman" w:cs="Times New Roman"/>
                <w:sz w:val="20"/>
                <w:szCs w:val="20"/>
                <w:lang w:eastAsia="fr-FR"/>
              </w:rPr>
              <w:t> </w:t>
            </w:r>
          </w:p>
        </w:tc>
      </w:tr>
      <w:tr w:rsidR="005F20FC">
        <w:trPr>
          <w:trHeight w:val="320"/>
        </w:trPr>
        <w:tc>
          <w:tcPr>
            <w:tcW w:w="5000" w:type="pct"/>
            <w:gridSpan w:val="5"/>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b/>
                <w:bCs/>
                <w:sz w:val="20"/>
                <w:szCs w:val="20"/>
                <w:lang w:eastAsia="fr-FR"/>
              </w:rPr>
              <w:t>États pupillaires</w:t>
            </w:r>
            <w:r>
              <w:rPr>
                <w:rFonts w:ascii="Times New Roman" w:eastAsia="Times New Roman" w:hAnsi="Times New Roman" w:cs="Times New Roman"/>
                <w:sz w:val="20"/>
                <w:szCs w:val="20"/>
                <w:lang w:eastAsia="fr-FR"/>
              </w:rPr>
              <w:t> </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PER*</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24</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43,6</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32</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58,2</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Mydriase</w:t>
            </w:r>
            <w:r>
              <w:rPr>
                <w:rFonts w:ascii="Times New Roman" w:eastAsia="Times New Roman" w:hAnsi="Times New Roman" w:cs="Times New Roman"/>
                <w:sz w:val="20"/>
                <w:szCs w:val="20"/>
                <w:lang w:val="en-US" w:eastAsia="fr-FR"/>
              </w:rPr>
              <w:t xml:space="preserve"> </w:t>
            </w:r>
            <w:proofErr w:type="spellStart"/>
            <w:r>
              <w:rPr>
                <w:rFonts w:ascii="Times New Roman" w:eastAsia="Times New Roman" w:hAnsi="Times New Roman" w:cs="Times New Roman"/>
                <w:sz w:val="20"/>
                <w:szCs w:val="20"/>
                <w:lang w:val="en-US" w:eastAsia="fr-FR"/>
              </w:rPr>
              <w:t>bilatérale</w:t>
            </w:r>
            <w:proofErr w:type="spellEnd"/>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0 </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0</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1,8</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Myosis bilatérale</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23</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41,8</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11</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20</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proofErr w:type="spellStart"/>
            <w:r>
              <w:rPr>
                <w:rFonts w:ascii="Times New Roman" w:eastAsia="Times New Roman" w:hAnsi="Times New Roman" w:cs="Times New Roman"/>
                <w:sz w:val="20"/>
                <w:szCs w:val="20"/>
                <w:lang w:eastAsia="fr-FR"/>
              </w:rPr>
              <w:t>Anisocorie</w:t>
            </w:r>
            <w:proofErr w:type="spellEnd"/>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8</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14,5</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11</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20</w:t>
            </w:r>
          </w:p>
        </w:tc>
      </w:tr>
      <w:tr w:rsidR="005F20FC">
        <w:trPr>
          <w:trHeight w:val="320"/>
        </w:trPr>
        <w:tc>
          <w:tcPr>
            <w:tcW w:w="5000" w:type="pct"/>
            <w:gridSpan w:val="5"/>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b/>
                <w:bCs/>
                <w:sz w:val="20"/>
                <w:szCs w:val="20"/>
                <w:lang w:eastAsia="fr-FR"/>
              </w:rPr>
              <w:t>Déficits neurologiques</w:t>
            </w:r>
            <w:r>
              <w:rPr>
                <w:rFonts w:ascii="Times New Roman" w:eastAsia="Times New Roman" w:hAnsi="Times New Roman" w:cs="Times New Roman"/>
                <w:sz w:val="20"/>
                <w:szCs w:val="20"/>
                <w:lang w:eastAsia="fr-FR"/>
              </w:rPr>
              <w:t> </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Hémiplégie</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23</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41,8</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27</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49,1</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Hémiparésie</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10,9</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5,4</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Tétraplégie</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3,6</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1,8</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Sans déficit</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24</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43,6</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24</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43,6</w:t>
            </w:r>
          </w:p>
        </w:tc>
      </w:tr>
      <w:tr w:rsidR="005F20FC">
        <w:trPr>
          <w:trHeight w:val="320"/>
        </w:trPr>
        <w:tc>
          <w:tcPr>
            <w:tcW w:w="5000" w:type="pct"/>
            <w:gridSpan w:val="5"/>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b/>
                <w:bCs/>
                <w:sz w:val="20"/>
                <w:szCs w:val="20"/>
                <w:lang w:eastAsia="fr-FR"/>
              </w:rPr>
              <w:t>Signes respiratoires à l’auscultation</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Poumons libres</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43</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78,2</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27</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49,1</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Râles </w:t>
            </w:r>
            <w:r>
              <w:rPr>
                <w:rFonts w:ascii="Times New Roman" w:eastAsia="Times New Roman" w:hAnsi="Times New Roman" w:cs="Times New Roman"/>
                <w:sz w:val="20"/>
                <w:szCs w:val="20"/>
                <w:lang w:val="en-US" w:eastAsia="fr-FR"/>
              </w:rPr>
              <w:t>c</w:t>
            </w:r>
            <w:proofErr w:type="spellStart"/>
            <w:r>
              <w:rPr>
                <w:rFonts w:ascii="Times New Roman" w:eastAsia="Times New Roman" w:hAnsi="Times New Roman" w:cs="Times New Roman"/>
                <w:sz w:val="20"/>
                <w:szCs w:val="20"/>
                <w:lang w:eastAsia="fr-FR"/>
              </w:rPr>
              <w:t>répitants</w:t>
            </w:r>
            <w:proofErr w:type="spellEnd"/>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5,4</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5,4</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proofErr w:type="spellStart"/>
            <w:r>
              <w:rPr>
                <w:rFonts w:ascii="Times New Roman" w:eastAsia="Times New Roman" w:hAnsi="Times New Roman" w:cs="Times New Roman"/>
                <w:sz w:val="20"/>
                <w:szCs w:val="20"/>
                <w:lang w:eastAsia="fr-FR"/>
              </w:rPr>
              <w:t>Ronchi</w:t>
            </w:r>
            <w:proofErr w:type="spellEnd"/>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11</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23</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41,8</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bCs/>
                <w:sz w:val="20"/>
                <w:szCs w:val="20"/>
                <w:lang w:eastAsia="fr-FR"/>
              </w:rPr>
              <w:t xml:space="preserve">Anomalies des murmures </w:t>
            </w:r>
            <w:r>
              <w:rPr>
                <w:rFonts w:ascii="Times New Roman" w:eastAsia="Times New Roman" w:hAnsi="Times New Roman" w:cs="Times New Roman"/>
                <w:sz w:val="20"/>
                <w:szCs w:val="20"/>
                <w:lang w:eastAsia="fr-FR"/>
              </w:rPr>
              <w:t>vésiculaires</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5,4</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3,6</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Diurèse</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Normale </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25</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45,4</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45</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81,8</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Oligurie </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0</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0</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10</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18,2</w:t>
            </w:r>
          </w:p>
        </w:tc>
      </w:tr>
      <w:tr w:rsidR="005F20FC">
        <w:trPr>
          <w:trHeight w:val="320"/>
        </w:trPr>
        <w:tc>
          <w:tcPr>
            <w:tcW w:w="1699"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Non quantifiée</w:t>
            </w:r>
          </w:p>
        </w:tc>
        <w:tc>
          <w:tcPr>
            <w:tcW w:w="753"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30</w:t>
            </w:r>
          </w:p>
        </w:tc>
        <w:tc>
          <w:tcPr>
            <w:tcW w:w="76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54,5</w:t>
            </w:r>
          </w:p>
        </w:tc>
        <w:tc>
          <w:tcPr>
            <w:tcW w:w="861"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0</w:t>
            </w:r>
          </w:p>
        </w:tc>
        <w:tc>
          <w:tcPr>
            <w:tcW w:w="920"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0</w:t>
            </w:r>
          </w:p>
        </w:tc>
      </w:tr>
      <w:tr w:rsidR="005F20FC">
        <w:trPr>
          <w:trHeight w:val="320"/>
        </w:trPr>
        <w:tc>
          <w:tcPr>
            <w:tcW w:w="1699" w:type="pct"/>
            <w:tcBorders>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Diurèse médiane en ml/24 H [IQR*]</w:t>
            </w:r>
          </w:p>
        </w:tc>
        <w:tc>
          <w:tcPr>
            <w:tcW w:w="1518" w:type="pct"/>
            <w:gridSpan w:val="2"/>
            <w:tcBorders>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1900 [1600 - 2100]</w:t>
            </w:r>
          </w:p>
        </w:tc>
        <w:tc>
          <w:tcPr>
            <w:tcW w:w="1781" w:type="pct"/>
            <w:gridSpan w:val="2"/>
            <w:tcBorders>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1500 [1337,5 - 2075]</w:t>
            </w:r>
          </w:p>
        </w:tc>
      </w:tr>
    </w:tbl>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iCs/>
          <w:sz w:val="20"/>
          <w:szCs w:val="20"/>
        </w:rPr>
        <w:t>*IQR : Intervalle interquartile, PER : Pupille égale et réactiv</w:t>
      </w:r>
      <w:r>
        <w:rPr>
          <w:rFonts w:ascii="Times New Roman" w:eastAsia="Calibri" w:hAnsi="Times New Roman" w:cs="Times New Roman"/>
          <w:sz w:val="20"/>
          <w:szCs w:val="20"/>
        </w:rPr>
        <w:t>e</w:t>
      </w:r>
    </w:p>
    <w:p w:rsidR="005F20FC" w:rsidRDefault="00191971">
      <w:pPr>
        <w:spacing w:after="0" w:line="240" w:lineRule="auto"/>
        <w:ind w:firstLine="708"/>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Un score </w:t>
      </w:r>
      <w:proofErr w:type="spellStart"/>
      <w:r>
        <w:rPr>
          <w:rFonts w:ascii="Times New Roman" w:eastAsia="Calibri" w:hAnsi="Times New Roman" w:cs="Times New Roman"/>
          <w:sz w:val="20"/>
          <w:szCs w:val="20"/>
        </w:rPr>
        <w:t>qSOFA</w:t>
      </w:r>
      <w:proofErr w:type="spellEnd"/>
      <w:r>
        <w:rPr>
          <w:rFonts w:ascii="Times New Roman" w:eastAsia="Calibri" w:hAnsi="Times New Roman" w:cs="Times New Roman"/>
          <w:sz w:val="20"/>
          <w:szCs w:val="20"/>
        </w:rPr>
        <w:t xml:space="preserve"> égal à 3 a été majoritairement identifié dans 49,1 % ; soit n= 27. L’ECBC (Examen Cytobactériologique des Crachats) et l’hémoculture ont été les examens bactériologiques majoritairement positifs respectivement dans 69,1 % (n= 38) et 21,8 % (n= 12) (Tableau III). Le </w:t>
      </w:r>
      <w:r>
        <w:rPr>
          <w:rFonts w:ascii="Times New Roman" w:eastAsia="Calibri" w:hAnsi="Times New Roman" w:cs="Times New Roman"/>
          <w:i/>
          <w:iCs/>
          <w:sz w:val="20"/>
          <w:szCs w:val="20"/>
        </w:rPr>
        <w:t xml:space="preserve">P. </w:t>
      </w:r>
      <w:proofErr w:type="spellStart"/>
      <w:r>
        <w:rPr>
          <w:rFonts w:ascii="Times New Roman" w:eastAsia="Calibri" w:hAnsi="Times New Roman" w:cs="Times New Roman"/>
          <w:i/>
          <w:iCs/>
          <w:sz w:val="20"/>
          <w:szCs w:val="20"/>
        </w:rPr>
        <w:t>aeruginosa</w:t>
      </w:r>
      <w:proofErr w:type="spellEnd"/>
      <w:r>
        <w:rPr>
          <w:rFonts w:ascii="Times New Roman" w:eastAsia="Calibri" w:hAnsi="Times New Roman" w:cs="Times New Roman"/>
          <w:sz w:val="20"/>
          <w:szCs w:val="20"/>
        </w:rPr>
        <w:t xml:space="preserve"> (20 % ; n= 11) a été principalement retrouvé à l’ECBC. A l’hémoculture, l’</w:t>
      </w:r>
      <w:proofErr w:type="spellStart"/>
      <w:r>
        <w:rPr>
          <w:rFonts w:ascii="Times New Roman" w:eastAsia="Calibri" w:hAnsi="Times New Roman" w:cs="Times New Roman"/>
          <w:i/>
          <w:iCs/>
          <w:sz w:val="20"/>
          <w:szCs w:val="20"/>
        </w:rPr>
        <w:t>Enterobactersp</w:t>
      </w:r>
      <w:proofErr w:type="spellEnd"/>
      <w:r>
        <w:rPr>
          <w:rFonts w:ascii="Times New Roman" w:eastAsia="Calibri" w:hAnsi="Times New Roman" w:cs="Times New Roman"/>
          <w:sz w:val="20"/>
          <w:szCs w:val="20"/>
        </w:rPr>
        <w:t xml:space="preserve"> et l’</w:t>
      </w:r>
      <w:proofErr w:type="spellStart"/>
      <w:r>
        <w:rPr>
          <w:rFonts w:ascii="Times New Roman" w:eastAsia="Calibri" w:hAnsi="Times New Roman" w:cs="Times New Roman"/>
          <w:i/>
          <w:iCs/>
          <w:sz w:val="20"/>
          <w:szCs w:val="20"/>
        </w:rPr>
        <w:t>Acinetobacter</w:t>
      </w:r>
      <w:proofErr w:type="spellEnd"/>
      <w:r>
        <w:rPr>
          <w:rFonts w:ascii="Times New Roman" w:eastAsia="Calibri" w:hAnsi="Times New Roman" w:cs="Times New Roman"/>
          <w:i/>
          <w:iCs/>
          <w:sz w:val="20"/>
          <w:szCs w:val="20"/>
        </w:rPr>
        <w:t xml:space="preserve"> </w:t>
      </w:r>
      <w:proofErr w:type="spellStart"/>
      <w:r>
        <w:rPr>
          <w:rFonts w:ascii="Times New Roman" w:eastAsia="Calibri" w:hAnsi="Times New Roman" w:cs="Times New Roman"/>
          <w:i/>
          <w:iCs/>
          <w:sz w:val="20"/>
          <w:szCs w:val="20"/>
        </w:rPr>
        <w:lastRenderedPageBreak/>
        <w:t>sp</w:t>
      </w:r>
      <w:proofErr w:type="spellEnd"/>
      <w:r>
        <w:rPr>
          <w:rFonts w:ascii="Times New Roman" w:eastAsia="Calibri" w:hAnsi="Times New Roman" w:cs="Times New Roman"/>
          <w:sz w:val="20"/>
          <w:szCs w:val="20"/>
        </w:rPr>
        <w:t xml:space="preserve"> ont été majoritairement retrouvés avec les mêmes fréquences (5,5 % ; n= 3).</w:t>
      </w:r>
    </w:p>
    <w:p w:rsidR="005F20FC" w:rsidRDefault="00191971">
      <w:pPr>
        <w:spacing w:after="0" w:line="240" w:lineRule="auto"/>
        <w:jc w:val="both"/>
        <w:rPr>
          <w:rFonts w:ascii="Times New Roman" w:eastAsia="Segoe UI" w:hAnsi="Times New Roman" w:cs="Times New Roman"/>
          <w:sz w:val="20"/>
          <w:szCs w:val="20"/>
          <w:shd w:val="clear" w:color="auto" w:fill="FFFFFF"/>
        </w:rPr>
      </w:pPr>
      <w:r>
        <w:rPr>
          <w:rFonts w:ascii="Times New Roman" w:eastAsia="Calibri" w:hAnsi="Times New Roman" w:cs="Times New Roman"/>
          <w:b/>
          <w:iCs/>
          <w:sz w:val="20"/>
          <w:szCs w:val="20"/>
        </w:rPr>
        <w:t xml:space="preserve">Tableau </w:t>
      </w:r>
      <w:proofErr w:type="gramStart"/>
      <w:r>
        <w:rPr>
          <w:rFonts w:ascii="Times New Roman" w:eastAsia="Calibri" w:hAnsi="Times New Roman" w:cs="Times New Roman"/>
          <w:b/>
          <w:iCs/>
          <w:sz w:val="20"/>
          <w:szCs w:val="20"/>
        </w:rPr>
        <w:t>III:</w:t>
      </w:r>
      <w:proofErr w:type="gramEnd"/>
      <w:r>
        <w:rPr>
          <w:rFonts w:ascii="Times New Roman" w:eastAsia="Calibri" w:hAnsi="Times New Roman" w:cs="Times New Roman"/>
          <w:b/>
          <w:iCs/>
          <w:sz w:val="20"/>
          <w:szCs w:val="20"/>
        </w:rPr>
        <w:t xml:space="preserve"> Répartition de la population selon les examens bactériologiques</w:t>
      </w:r>
    </w:p>
    <w:p w:rsidR="005F20FC" w:rsidRDefault="005F20FC">
      <w:pPr>
        <w:spacing w:after="0" w:line="240" w:lineRule="auto"/>
        <w:jc w:val="both"/>
        <w:rPr>
          <w:rFonts w:ascii="Times New Roman" w:eastAsia="Segoe UI" w:hAnsi="Times New Roman" w:cs="Times New Roman"/>
          <w:sz w:val="20"/>
          <w:szCs w:val="20"/>
          <w:shd w:val="clear" w:color="auto" w:fill="FFFFFF"/>
        </w:rPr>
      </w:pPr>
    </w:p>
    <w:tbl>
      <w:tblPr>
        <w:tblW w:w="4893" w:type="pct"/>
        <w:tblLayout w:type="fixed"/>
        <w:tblCellMar>
          <w:left w:w="70" w:type="dxa"/>
          <w:right w:w="70" w:type="dxa"/>
        </w:tblCellMar>
        <w:tblLook w:val="04A0" w:firstRow="1" w:lastRow="0" w:firstColumn="1" w:lastColumn="0" w:noHBand="0" w:noVBand="1"/>
      </w:tblPr>
      <w:tblGrid>
        <w:gridCol w:w="1701"/>
        <w:gridCol w:w="1210"/>
        <w:gridCol w:w="1319"/>
      </w:tblGrid>
      <w:tr w:rsidR="005F20FC">
        <w:trPr>
          <w:trHeight w:val="320"/>
        </w:trPr>
        <w:tc>
          <w:tcPr>
            <w:tcW w:w="2010" w:type="pct"/>
            <w:tcBorders>
              <w:top w:val="single" w:sz="4" w:space="0" w:color="auto"/>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Examens bactériologiques</w:t>
            </w:r>
          </w:p>
        </w:tc>
        <w:tc>
          <w:tcPr>
            <w:tcW w:w="1430" w:type="pct"/>
            <w:tcBorders>
              <w:top w:val="single" w:sz="4" w:space="0" w:color="auto"/>
              <w:bottom w:val="single" w:sz="4" w:space="0" w:color="auto"/>
            </w:tcBorders>
            <w:noWrap/>
            <w:vAlign w:val="bottom"/>
          </w:tcPr>
          <w:p w:rsidR="005F20FC" w:rsidRDefault="0019197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Effectif (n)</w:t>
            </w:r>
          </w:p>
        </w:tc>
        <w:tc>
          <w:tcPr>
            <w:tcW w:w="1559" w:type="pct"/>
            <w:tcBorders>
              <w:top w:val="single" w:sz="4" w:space="0" w:color="auto"/>
              <w:bottom w:val="single" w:sz="4" w:space="0" w:color="auto"/>
            </w:tcBorders>
            <w:noWrap/>
            <w:vAlign w:val="bottom"/>
          </w:tcPr>
          <w:p w:rsidR="005F20FC" w:rsidRDefault="0019197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Pourcentage (%)</w:t>
            </w:r>
          </w:p>
        </w:tc>
      </w:tr>
      <w:tr w:rsidR="005F20FC">
        <w:trPr>
          <w:trHeight w:val="320"/>
        </w:trPr>
        <w:tc>
          <w:tcPr>
            <w:tcW w:w="2010" w:type="pct"/>
            <w:tcBorders>
              <w:top w:val="single" w:sz="4" w:space="0" w:color="auto"/>
            </w:tcBorders>
            <w:noWrap/>
            <w:vAlign w:val="bottom"/>
          </w:tcPr>
          <w:p w:rsidR="005F20FC" w:rsidRDefault="00191971" w:rsidP="00BC694C">
            <w:pPr>
              <w:spacing w:after="0" w:line="240" w:lineRule="auto"/>
              <w:ind w:firstLineChars="100" w:firstLine="200"/>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Crachats</w:t>
            </w:r>
          </w:p>
        </w:tc>
        <w:tc>
          <w:tcPr>
            <w:tcW w:w="1430" w:type="pct"/>
            <w:tcBorders>
              <w:top w:val="single" w:sz="4" w:space="0" w:color="auto"/>
            </w:tcBorders>
            <w:noWrap/>
            <w:vAlign w:val="bottom"/>
          </w:tcPr>
          <w:p w:rsidR="005F20FC" w:rsidRDefault="005F20FC">
            <w:pPr>
              <w:spacing w:after="0" w:line="240" w:lineRule="auto"/>
              <w:jc w:val="center"/>
              <w:rPr>
                <w:rFonts w:ascii="Times New Roman" w:eastAsia="Times New Roman" w:hAnsi="Times New Roman" w:cs="Times New Roman"/>
                <w:b/>
                <w:bCs/>
                <w:sz w:val="20"/>
                <w:szCs w:val="20"/>
                <w:lang w:eastAsia="fr-FR"/>
              </w:rPr>
            </w:pPr>
          </w:p>
        </w:tc>
        <w:tc>
          <w:tcPr>
            <w:tcW w:w="1559" w:type="pct"/>
            <w:tcBorders>
              <w:top w:val="single" w:sz="4" w:space="0" w:color="auto"/>
            </w:tcBorders>
            <w:noWrap/>
            <w:vAlign w:val="bottom"/>
          </w:tcPr>
          <w:p w:rsidR="005F20FC" w:rsidRDefault="005F20FC">
            <w:pPr>
              <w:spacing w:after="0" w:line="240" w:lineRule="auto"/>
              <w:jc w:val="center"/>
              <w:rPr>
                <w:rFonts w:ascii="Times New Roman" w:eastAsia="Times New Roman" w:hAnsi="Times New Roman" w:cs="Times New Roman"/>
                <w:b/>
                <w:bCs/>
                <w:sz w:val="20"/>
                <w:szCs w:val="20"/>
                <w:lang w:eastAsia="fr-FR"/>
              </w:rPr>
            </w:pPr>
          </w:p>
        </w:tc>
      </w:tr>
      <w:tr w:rsidR="005F20FC">
        <w:trPr>
          <w:trHeight w:val="320"/>
        </w:trPr>
        <w:tc>
          <w:tcPr>
            <w:tcW w:w="2010" w:type="pct"/>
            <w:noWrap/>
            <w:vAlign w:val="bottom"/>
          </w:tcPr>
          <w:p w:rsidR="005F20FC" w:rsidRDefault="00191971">
            <w:pPr>
              <w:spacing w:after="0" w:line="240" w:lineRule="auto"/>
              <w:ind w:firstLineChars="200" w:firstLine="4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Positif</w:t>
            </w:r>
          </w:p>
        </w:tc>
        <w:tc>
          <w:tcPr>
            <w:tcW w:w="1430"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38</w:t>
            </w:r>
          </w:p>
        </w:tc>
        <w:tc>
          <w:tcPr>
            <w:tcW w:w="1559"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69,1</w:t>
            </w:r>
          </w:p>
        </w:tc>
      </w:tr>
      <w:tr w:rsidR="005F20FC">
        <w:trPr>
          <w:trHeight w:val="320"/>
        </w:trPr>
        <w:tc>
          <w:tcPr>
            <w:tcW w:w="2010" w:type="pct"/>
            <w:noWrap/>
            <w:vAlign w:val="bottom"/>
          </w:tcPr>
          <w:p w:rsidR="005F20FC" w:rsidRDefault="00191971">
            <w:pPr>
              <w:spacing w:after="0" w:line="240" w:lineRule="auto"/>
              <w:ind w:firstLineChars="200" w:firstLine="4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Négatif</w:t>
            </w:r>
          </w:p>
        </w:tc>
        <w:tc>
          <w:tcPr>
            <w:tcW w:w="1430"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w:t>
            </w:r>
          </w:p>
        </w:tc>
        <w:tc>
          <w:tcPr>
            <w:tcW w:w="1559"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w:t>
            </w:r>
          </w:p>
        </w:tc>
      </w:tr>
      <w:tr w:rsidR="005F20FC">
        <w:trPr>
          <w:trHeight w:val="320"/>
        </w:trPr>
        <w:tc>
          <w:tcPr>
            <w:tcW w:w="2010" w:type="pct"/>
            <w:noWrap/>
            <w:vAlign w:val="bottom"/>
          </w:tcPr>
          <w:p w:rsidR="005F20FC" w:rsidRDefault="00191971" w:rsidP="00BC694C">
            <w:pPr>
              <w:spacing w:after="0" w:line="240" w:lineRule="auto"/>
              <w:ind w:firstLineChars="100" w:firstLine="200"/>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Urines</w:t>
            </w:r>
          </w:p>
        </w:tc>
        <w:tc>
          <w:tcPr>
            <w:tcW w:w="1430" w:type="pct"/>
            <w:noWrap/>
            <w:vAlign w:val="bottom"/>
          </w:tcPr>
          <w:p w:rsidR="005F20FC" w:rsidRDefault="005F20FC">
            <w:pPr>
              <w:spacing w:after="0" w:line="240" w:lineRule="auto"/>
              <w:jc w:val="center"/>
              <w:rPr>
                <w:rFonts w:ascii="Times New Roman" w:eastAsia="Times New Roman" w:hAnsi="Times New Roman" w:cs="Times New Roman"/>
                <w:b/>
                <w:bCs/>
                <w:sz w:val="20"/>
                <w:szCs w:val="20"/>
                <w:lang w:eastAsia="fr-FR"/>
              </w:rPr>
            </w:pPr>
          </w:p>
        </w:tc>
        <w:tc>
          <w:tcPr>
            <w:tcW w:w="1559" w:type="pct"/>
            <w:noWrap/>
            <w:vAlign w:val="bottom"/>
          </w:tcPr>
          <w:p w:rsidR="005F20FC" w:rsidRDefault="005F20FC">
            <w:pPr>
              <w:spacing w:after="0" w:line="240" w:lineRule="auto"/>
              <w:jc w:val="center"/>
              <w:rPr>
                <w:rFonts w:ascii="Times New Roman" w:eastAsia="Times New Roman" w:hAnsi="Times New Roman" w:cs="Times New Roman"/>
                <w:b/>
                <w:bCs/>
                <w:sz w:val="20"/>
                <w:szCs w:val="20"/>
                <w:lang w:eastAsia="fr-FR"/>
              </w:rPr>
            </w:pPr>
          </w:p>
        </w:tc>
      </w:tr>
      <w:tr w:rsidR="005F20FC">
        <w:trPr>
          <w:trHeight w:val="320"/>
        </w:trPr>
        <w:tc>
          <w:tcPr>
            <w:tcW w:w="2010" w:type="pct"/>
            <w:noWrap/>
            <w:vAlign w:val="bottom"/>
          </w:tcPr>
          <w:p w:rsidR="005F20FC" w:rsidRDefault="00191971">
            <w:pPr>
              <w:spacing w:after="0" w:line="240" w:lineRule="auto"/>
              <w:ind w:firstLineChars="200" w:firstLine="4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Positif</w:t>
            </w:r>
          </w:p>
        </w:tc>
        <w:tc>
          <w:tcPr>
            <w:tcW w:w="1430"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11</w:t>
            </w:r>
          </w:p>
        </w:tc>
        <w:tc>
          <w:tcPr>
            <w:tcW w:w="1559"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20</w:t>
            </w:r>
          </w:p>
        </w:tc>
      </w:tr>
      <w:tr w:rsidR="005F20FC">
        <w:trPr>
          <w:trHeight w:val="320"/>
        </w:trPr>
        <w:tc>
          <w:tcPr>
            <w:tcW w:w="2010" w:type="pct"/>
            <w:noWrap/>
            <w:vAlign w:val="bottom"/>
          </w:tcPr>
          <w:p w:rsidR="005F20FC" w:rsidRDefault="00191971">
            <w:pPr>
              <w:spacing w:after="0" w:line="240" w:lineRule="auto"/>
              <w:ind w:firstLineChars="200" w:firstLine="4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Négatif</w:t>
            </w:r>
          </w:p>
        </w:tc>
        <w:tc>
          <w:tcPr>
            <w:tcW w:w="1430"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4</w:t>
            </w:r>
          </w:p>
        </w:tc>
        <w:tc>
          <w:tcPr>
            <w:tcW w:w="1559"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7,3</w:t>
            </w:r>
          </w:p>
        </w:tc>
      </w:tr>
      <w:tr w:rsidR="005F20FC">
        <w:trPr>
          <w:trHeight w:val="320"/>
        </w:trPr>
        <w:tc>
          <w:tcPr>
            <w:tcW w:w="2010" w:type="pct"/>
            <w:noWrap/>
            <w:vAlign w:val="bottom"/>
          </w:tcPr>
          <w:p w:rsidR="005F20FC" w:rsidRDefault="00191971" w:rsidP="00BC694C">
            <w:pPr>
              <w:spacing w:after="0" w:line="240" w:lineRule="auto"/>
              <w:ind w:firstLineChars="100" w:firstLine="200"/>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LCS*</w:t>
            </w:r>
          </w:p>
        </w:tc>
        <w:tc>
          <w:tcPr>
            <w:tcW w:w="1430" w:type="pct"/>
            <w:noWrap/>
            <w:vAlign w:val="bottom"/>
          </w:tcPr>
          <w:p w:rsidR="005F20FC" w:rsidRDefault="005F20FC">
            <w:pPr>
              <w:spacing w:after="0" w:line="240" w:lineRule="auto"/>
              <w:jc w:val="center"/>
              <w:rPr>
                <w:rFonts w:ascii="Times New Roman" w:eastAsia="Times New Roman" w:hAnsi="Times New Roman" w:cs="Times New Roman"/>
                <w:b/>
                <w:bCs/>
                <w:sz w:val="20"/>
                <w:szCs w:val="20"/>
                <w:lang w:eastAsia="fr-FR"/>
              </w:rPr>
            </w:pPr>
          </w:p>
        </w:tc>
        <w:tc>
          <w:tcPr>
            <w:tcW w:w="1559" w:type="pct"/>
            <w:noWrap/>
            <w:vAlign w:val="bottom"/>
          </w:tcPr>
          <w:p w:rsidR="005F20FC" w:rsidRDefault="005F20FC">
            <w:pPr>
              <w:spacing w:after="0" w:line="240" w:lineRule="auto"/>
              <w:jc w:val="center"/>
              <w:rPr>
                <w:rFonts w:ascii="Times New Roman" w:eastAsia="Times New Roman" w:hAnsi="Times New Roman" w:cs="Times New Roman"/>
                <w:b/>
                <w:bCs/>
                <w:sz w:val="20"/>
                <w:szCs w:val="20"/>
                <w:lang w:eastAsia="fr-FR"/>
              </w:rPr>
            </w:pPr>
          </w:p>
        </w:tc>
      </w:tr>
      <w:tr w:rsidR="005F20FC">
        <w:trPr>
          <w:trHeight w:val="320"/>
        </w:trPr>
        <w:tc>
          <w:tcPr>
            <w:tcW w:w="2010" w:type="pct"/>
            <w:noWrap/>
            <w:vAlign w:val="bottom"/>
          </w:tcPr>
          <w:p w:rsidR="005F20FC" w:rsidRDefault="00191971">
            <w:pPr>
              <w:spacing w:after="0" w:line="240" w:lineRule="auto"/>
              <w:ind w:firstLineChars="200" w:firstLine="4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Positif</w:t>
            </w:r>
          </w:p>
        </w:tc>
        <w:tc>
          <w:tcPr>
            <w:tcW w:w="1430"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9</w:t>
            </w:r>
          </w:p>
        </w:tc>
        <w:tc>
          <w:tcPr>
            <w:tcW w:w="1559"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16,4</w:t>
            </w:r>
          </w:p>
        </w:tc>
      </w:tr>
      <w:tr w:rsidR="005F20FC">
        <w:trPr>
          <w:trHeight w:val="320"/>
        </w:trPr>
        <w:tc>
          <w:tcPr>
            <w:tcW w:w="2010" w:type="pct"/>
            <w:noWrap/>
            <w:vAlign w:val="bottom"/>
          </w:tcPr>
          <w:p w:rsidR="005F20FC" w:rsidRDefault="00191971">
            <w:pPr>
              <w:spacing w:after="0" w:line="240" w:lineRule="auto"/>
              <w:ind w:firstLineChars="200" w:firstLine="4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Négatif</w:t>
            </w:r>
          </w:p>
        </w:tc>
        <w:tc>
          <w:tcPr>
            <w:tcW w:w="1430"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w:t>
            </w:r>
          </w:p>
        </w:tc>
        <w:tc>
          <w:tcPr>
            <w:tcW w:w="1559"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1,8</w:t>
            </w:r>
          </w:p>
        </w:tc>
      </w:tr>
      <w:tr w:rsidR="005F20FC">
        <w:trPr>
          <w:trHeight w:val="320"/>
        </w:trPr>
        <w:tc>
          <w:tcPr>
            <w:tcW w:w="2010" w:type="pct"/>
            <w:noWrap/>
            <w:vAlign w:val="bottom"/>
          </w:tcPr>
          <w:p w:rsidR="005F20FC" w:rsidRDefault="00191971" w:rsidP="00BC694C">
            <w:pPr>
              <w:spacing w:after="0" w:line="240" w:lineRule="auto"/>
              <w:ind w:firstLineChars="100" w:firstLine="200"/>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Pus</w:t>
            </w:r>
          </w:p>
        </w:tc>
        <w:tc>
          <w:tcPr>
            <w:tcW w:w="1430" w:type="pct"/>
            <w:noWrap/>
            <w:vAlign w:val="bottom"/>
          </w:tcPr>
          <w:p w:rsidR="005F20FC" w:rsidRDefault="005F20FC">
            <w:pPr>
              <w:spacing w:after="0" w:line="240" w:lineRule="auto"/>
              <w:jc w:val="center"/>
              <w:rPr>
                <w:rFonts w:ascii="Times New Roman" w:eastAsia="Times New Roman" w:hAnsi="Times New Roman" w:cs="Times New Roman"/>
                <w:b/>
                <w:bCs/>
                <w:sz w:val="20"/>
                <w:szCs w:val="20"/>
                <w:lang w:eastAsia="fr-FR"/>
              </w:rPr>
            </w:pPr>
          </w:p>
        </w:tc>
        <w:tc>
          <w:tcPr>
            <w:tcW w:w="1559" w:type="pct"/>
            <w:noWrap/>
            <w:vAlign w:val="bottom"/>
          </w:tcPr>
          <w:p w:rsidR="005F20FC" w:rsidRDefault="005F20FC">
            <w:pPr>
              <w:spacing w:after="0" w:line="240" w:lineRule="auto"/>
              <w:jc w:val="center"/>
              <w:rPr>
                <w:rFonts w:ascii="Times New Roman" w:eastAsia="Times New Roman" w:hAnsi="Times New Roman" w:cs="Times New Roman"/>
                <w:b/>
                <w:bCs/>
                <w:sz w:val="20"/>
                <w:szCs w:val="20"/>
                <w:lang w:eastAsia="fr-FR"/>
              </w:rPr>
            </w:pPr>
          </w:p>
        </w:tc>
      </w:tr>
      <w:tr w:rsidR="005F20FC">
        <w:trPr>
          <w:trHeight w:val="320"/>
        </w:trPr>
        <w:tc>
          <w:tcPr>
            <w:tcW w:w="2010" w:type="pct"/>
            <w:noWrap/>
            <w:vAlign w:val="bottom"/>
          </w:tcPr>
          <w:p w:rsidR="005F20FC" w:rsidRDefault="00191971">
            <w:pPr>
              <w:spacing w:after="0" w:line="240" w:lineRule="auto"/>
              <w:ind w:firstLineChars="200" w:firstLine="4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Positif</w:t>
            </w:r>
          </w:p>
        </w:tc>
        <w:tc>
          <w:tcPr>
            <w:tcW w:w="1430"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w:t>
            </w:r>
          </w:p>
        </w:tc>
        <w:tc>
          <w:tcPr>
            <w:tcW w:w="1559"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12,7</w:t>
            </w:r>
          </w:p>
        </w:tc>
      </w:tr>
      <w:tr w:rsidR="005F20FC">
        <w:trPr>
          <w:trHeight w:val="320"/>
        </w:trPr>
        <w:tc>
          <w:tcPr>
            <w:tcW w:w="2010" w:type="pct"/>
            <w:noWrap/>
            <w:vAlign w:val="bottom"/>
          </w:tcPr>
          <w:p w:rsidR="005F20FC" w:rsidRDefault="00191971">
            <w:pPr>
              <w:spacing w:after="0" w:line="240" w:lineRule="auto"/>
              <w:ind w:firstLineChars="200" w:firstLine="4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Négatif</w:t>
            </w:r>
          </w:p>
        </w:tc>
        <w:tc>
          <w:tcPr>
            <w:tcW w:w="1430"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w:t>
            </w:r>
          </w:p>
        </w:tc>
        <w:tc>
          <w:tcPr>
            <w:tcW w:w="1559"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1,8</w:t>
            </w:r>
          </w:p>
        </w:tc>
      </w:tr>
      <w:tr w:rsidR="005F20FC">
        <w:trPr>
          <w:trHeight w:val="320"/>
        </w:trPr>
        <w:tc>
          <w:tcPr>
            <w:tcW w:w="2010" w:type="pct"/>
            <w:noWrap/>
            <w:vAlign w:val="bottom"/>
          </w:tcPr>
          <w:p w:rsidR="005F20FC" w:rsidRDefault="00191971" w:rsidP="00BC694C">
            <w:pPr>
              <w:spacing w:after="0" w:line="240" w:lineRule="auto"/>
              <w:ind w:firstLineChars="100" w:firstLine="200"/>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Hémoculture</w:t>
            </w:r>
          </w:p>
        </w:tc>
        <w:tc>
          <w:tcPr>
            <w:tcW w:w="1430" w:type="pct"/>
            <w:noWrap/>
            <w:vAlign w:val="bottom"/>
          </w:tcPr>
          <w:p w:rsidR="005F20FC" w:rsidRDefault="005F20FC">
            <w:pPr>
              <w:spacing w:after="0" w:line="240" w:lineRule="auto"/>
              <w:jc w:val="center"/>
              <w:rPr>
                <w:rFonts w:ascii="Times New Roman" w:eastAsia="Times New Roman" w:hAnsi="Times New Roman" w:cs="Times New Roman"/>
                <w:b/>
                <w:bCs/>
                <w:sz w:val="20"/>
                <w:szCs w:val="20"/>
                <w:lang w:eastAsia="fr-FR"/>
              </w:rPr>
            </w:pPr>
          </w:p>
        </w:tc>
        <w:tc>
          <w:tcPr>
            <w:tcW w:w="1559" w:type="pct"/>
            <w:noWrap/>
            <w:vAlign w:val="bottom"/>
          </w:tcPr>
          <w:p w:rsidR="005F20FC" w:rsidRDefault="005F20FC">
            <w:pPr>
              <w:spacing w:after="0" w:line="240" w:lineRule="auto"/>
              <w:jc w:val="center"/>
              <w:rPr>
                <w:rFonts w:ascii="Times New Roman" w:eastAsia="Times New Roman" w:hAnsi="Times New Roman" w:cs="Times New Roman"/>
                <w:b/>
                <w:bCs/>
                <w:sz w:val="20"/>
                <w:szCs w:val="20"/>
                <w:lang w:eastAsia="fr-FR"/>
              </w:rPr>
            </w:pPr>
          </w:p>
        </w:tc>
      </w:tr>
      <w:tr w:rsidR="005F20FC">
        <w:trPr>
          <w:trHeight w:val="320"/>
        </w:trPr>
        <w:tc>
          <w:tcPr>
            <w:tcW w:w="2010" w:type="pct"/>
            <w:noWrap/>
            <w:vAlign w:val="bottom"/>
          </w:tcPr>
          <w:p w:rsidR="005F20FC" w:rsidRDefault="00191971">
            <w:pPr>
              <w:spacing w:after="0" w:line="240" w:lineRule="auto"/>
              <w:ind w:firstLineChars="200" w:firstLine="4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Positif</w:t>
            </w:r>
          </w:p>
        </w:tc>
        <w:tc>
          <w:tcPr>
            <w:tcW w:w="1430"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12</w:t>
            </w:r>
          </w:p>
        </w:tc>
        <w:tc>
          <w:tcPr>
            <w:tcW w:w="1559" w:type="pct"/>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21,8</w:t>
            </w:r>
          </w:p>
        </w:tc>
      </w:tr>
      <w:tr w:rsidR="005F20FC">
        <w:trPr>
          <w:trHeight w:val="320"/>
        </w:trPr>
        <w:tc>
          <w:tcPr>
            <w:tcW w:w="2010" w:type="pct"/>
            <w:tcBorders>
              <w:bottom w:val="single" w:sz="4" w:space="0" w:color="auto"/>
            </w:tcBorders>
            <w:noWrap/>
            <w:vAlign w:val="bottom"/>
          </w:tcPr>
          <w:p w:rsidR="005F20FC" w:rsidRDefault="00191971">
            <w:pPr>
              <w:spacing w:after="0" w:line="240" w:lineRule="auto"/>
              <w:ind w:firstLineChars="200" w:firstLine="400"/>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Négatif</w:t>
            </w:r>
          </w:p>
        </w:tc>
        <w:tc>
          <w:tcPr>
            <w:tcW w:w="1430" w:type="pct"/>
            <w:tcBorders>
              <w:bottom w:val="single" w:sz="4" w:space="0" w:color="auto"/>
            </w:tcBorders>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9</w:t>
            </w:r>
          </w:p>
        </w:tc>
        <w:tc>
          <w:tcPr>
            <w:tcW w:w="1559" w:type="pct"/>
            <w:tcBorders>
              <w:bottom w:val="single" w:sz="4" w:space="0" w:color="auto"/>
            </w:tcBorders>
            <w:noWrap/>
            <w:vAlign w:val="bottom"/>
          </w:tcPr>
          <w:p w:rsidR="005F20FC" w:rsidRDefault="00191971">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16,4</w:t>
            </w:r>
          </w:p>
        </w:tc>
      </w:tr>
    </w:tbl>
    <w:p w:rsidR="005F20FC" w:rsidRDefault="005F20FC">
      <w:pPr>
        <w:spacing w:after="0" w:line="240" w:lineRule="auto"/>
        <w:jc w:val="both"/>
        <w:rPr>
          <w:rFonts w:ascii="Times New Roman" w:eastAsia="Segoe UI" w:hAnsi="Times New Roman" w:cs="Times New Roman"/>
          <w:sz w:val="20"/>
          <w:szCs w:val="20"/>
          <w:shd w:val="clear" w:color="auto" w:fill="FFFFFF"/>
        </w:rPr>
      </w:pPr>
    </w:p>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iCs/>
          <w:sz w:val="20"/>
          <w:szCs w:val="20"/>
        </w:rPr>
        <w:t>*LCS : Liquide cérébro-spinal</w:t>
      </w:r>
    </w:p>
    <w:p w:rsidR="005F20FC" w:rsidRDefault="00191971">
      <w:pPr>
        <w:tabs>
          <w:tab w:val="left" w:pos="975"/>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b/>
        <w:t>Au moment de l’état de choc septique, une hyperleucocytose a été majoritairement identifiée avec une médiane de 12,15 G/mm3. Un taux de CRP élevé a été également objectivé avec un médian de 75,4 mg/L. Seuls 3,6 % (n= 2) des patients inclus ont eu une infection récente au COVID-19. Parmi une petite proportion des patients ayant réalisé la radiographie thoracique, l’image radiologique d’une pneumopathie interstitielle a été majoritairement identifiée (14,5 %) (n= 8).</w:t>
      </w:r>
    </w:p>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Une intubation </w:t>
      </w:r>
      <w:proofErr w:type="spellStart"/>
      <w:r>
        <w:rPr>
          <w:rFonts w:ascii="Times New Roman" w:eastAsia="Calibri" w:hAnsi="Times New Roman" w:cs="Times New Roman"/>
          <w:sz w:val="20"/>
          <w:szCs w:val="20"/>
        </w:rPr>
        <w:t>oro-trachéale</w:t>
      </w:r>
      <w:proofErr w:type="spellEnd"/>
      <w:r>
        <w:rPr>
          <w:rFonts w:ascii="Times New Roman" w:eastAsia="Calibri" w:hAnsi="Times New Roman" w:cs="Times New Roman"/>
          <w:sz w:val="20"/>
          <w:szCs w:val="20"/>
        </w:rPr>
        <w:t xml:space="preserve"> (IOT) a été faite dans 85,4 % (n= 47). Une ventilation mécanique avec une durée médiane de 12 jours a été trouvée dans 34,5 % des cas (n= 19). Tous les patients ont reçu un remplissage vasculaire sans réponse (100 % ; n= 55). </w:t>
      </w:r>
      <w:proofErr w:type="gramStart"/>
      <w:r>
        <w:rPr>
          <w:rFonts w:ascii="Times New Roman" w:eastAsia="Calibri" w:hAnsi="Times New Roman" w:cs="Times New Roman"/>
          <w:sz w:val="20"/>
          <w:szCs w:val="20"/>
        </w:rPr>
        <w:t>le</w:t>
      </w:r>
      <w:proofErr w:type="gramEnd"/>
      <w:r>
        <w:rPr>
          <w:rFonts w:ascii="Times New Roman" w:eastAsia="Calibri" w:hAnsi="Times New Roman" w:cs="Times New Roman"/>
          <w:sz w:val="20"/>
          <w:szCs w:val="20"/>
        </w:rPr>
        <w:t xml:space="preserve"> recours à la Noradrénaline a été observé chez tous les patients. Le passage à l’</w:t>
      </w:r>
      <w:proofErr w:type="spellStart"/>
      <w:r>
        <w:rPr>
          <w:rFonts w:ascii="Times New Roman" w:eastAsia="Calibri" w:hAnsi="Times New Roman" w:cs="Times New Roman"/>
          <w:sz w:val="20"/>
          <w:szCs w:val="20"/>
        </w:rPr>
        <w:t>adrénalina</w:t>
      </w:r>
      <w:proofErr w:type="spellEnd"/>
      <w:r>
        <w:rPr>
          <w:rFonts w:ascii="Times New Roman" w:eastAsia="Calibri" w:hAnsi="Times New Roman" w:cs="Times New Roman"/>
          <w:sz w:val="20"/>
          <w:szCs w:val="20"/>
        </w:rPr>
        <w:t xml:space="preserve"> a été observé chez 5,4% des patients (n=3). Les aminosides (43,6 % ; n= 24) ; les quinolones (40 % ; n= 22) et les </w:t>
      </w:r>
      <w:proofErr w:type="spellStart"/>
      <w:r>
        <w:rPr>
          <w:rFonts w:ascii="Times New Roman" w:eastAsia="Calibri" w:hAnsi="Times New Roman" w:cs="Times New Roman"/>
          <w:sz w:val="20"/>
          <w:szCs w:val="20"/>
        </w:rPr>
        <w:t>pénèmes</w:t>
      </w:r>
      <w:proofErr w:type="spellEnd"/>
      <w:r>
        <w:rPr>
          <w:rFonts w:ascii="Times New Roman" w:eastAsia="Calibri" w:hAnsi="Times New Roman" w:cs="Times New Roman"/>
          <w:sz w:val="20"/>
          <w:szCs w:val="20"/>
        </w:rPr>
        <w:t xml:space="preserve"> (23,6 % ; n= 13) ont été les principaux antibiotiques utilisés (Tableau IV).</w:t>
      </w:r>
    </w:p>
    <w:p w:rsidR="005F20FC" w:rsidRDefault="005F20FC">
      <w:pPr>
        <w:spacing w:after="0" w:line="240" w:lineRule="auto"/>
        <w:jc w:val="both"/>
        <w:rPr>
          <w:rFonts w:ascii="Times New Roman" w:eastAsia="Calibri" w:hAnsi="Times New Roman" w:cs="Times New Roman"/>
          <w:sz w:val="20"/>
          <w:szCs w:val="20"/>
        </w:rPr>
      </w:pPr>
    </w:p>
    <w:p w:rsidR="005F20FC" w:rsidRDefault="00191971">
      <w:pPr>
        <w:tabs>
          <w:tab w:val="left" w:pos="1134"/>
        </w:tabs>
        <w:spacing w:after="0" w:line="240" w:lineRule="auto"/>
        <w:jc w:val="both"/>
        <w:rPr>
          <w:rFonts w:ascii="Times New Roman" w:eastAsia="Calibri" w:hAnsi="Times New Roman" w:cs="Times New Roman"/>
          <w:b/>
          <w:iCs/>
          <w:sz w:val="20"/>
          <w:szCs w:val="20"/>
        </w:rPr>
      </w:pPr>
      <w:bookmarkStart w:id="25" w:name="_Toc176359524"/>
      <w:r>
        <w:rPr>
          <w:rFonts w:ascii="Times New Roman" w:eastAsia="Calibri" w:hAnsi="Times New Roman" w:cs="Times New Roman"/>
          <w:b/>
          <w:iCs/>
          <w:sz w:val="20"/>
          <w:szCs w:val="20"/>
        </w:rPr>
        <w:t>Tableau IV</w:t>
      </w:r>
      <w:r>
        <w:rPr>
          <w:rFonts w:ascii="Times New Roman" w:eastAsia="Calibri" w:hAnsi="Times New Roman" w:cs="Times New Roman"/>
          <w:b/>
          <w:iCs/>
          <w:sz w:val="20"/>
          <w:szCs w:val="20"/>
        </w:rPr>
        <w:tab/>
        <w:t>: Traitement</w:t>
      </w:r>
      <w:bookmarkEnd w:id="25"/>
      <w:r>
        <w:rPr>
          <w:rFonts w:ascii="Times New Roman" w:eastAsia="Calibri" w:hAnsi="Times New Roman" w:cs="Times New Roman"/>
          <w:b/>
          <w:iCs/>
          <w:sz w:val="20"/>
          <w:szCs w:val="20"/>
        </w:rPr>
        <w:t>s reçus des patients</w:t>
      </w:r>
    </w:p>
    <w:p w:rsidR="005F20FC" w:rsidRDefault="005F20FC">
      <w:pPr>
        <w:tabs>
          <w:tab w:val="left" w:pos="1134"/>
        </w:tabs>
        <w:spacing w:after="0" w:line="240" w:lineRule="auto"/>
        <w:jc w:val="both"/>
        <w:rPr>
          <w:rFonts w:ascii="Times New Roman" w:eastAsia="Calibri" w:hAnsi="Times New Roman" w:cs="Times New Roman"/>
          <w:b/>
          <w:iCs/>
          <w:sz w:val="20"/>
          <w:szCs w:val="20"/>
        </w:rPr>
      </w:pPr>
    </w:p>
    <w:tbl>
      <w:tblPr>
        <w:tblW w:w="4992" w:type="pct"/>
        <w:tblLayout w:type="fixed"/>
        <w:tblCellMar>
          <w:left w:w="0" w:type="dxa"/>
          <w:right w:w="0" w:type="dxa"/>
        </w:tblCellMar>
        <w:tblLook w:val="04A0" w:firstRow="1" w:lastRow="0" w:firstColumn="1" w:lastColumn="0" w:noHBand="0" w:noVBand="1"/>
      </w:tblPr>
      <w:tblGrid>
        <w:gridCol w:w="1595"/>
        <w:gridCol w:w="1179"/>
        <w:gridCol w:w="1431"/>
      </w:tblGrid>
      <w:tr w:rsidR="005F20FC">
        <w:trPr>
          <w:trHeight w:val="320"/>
        </w:trPr>
        <w:tc>
          <w:tcPr>
            <w:tcW w:w="1897" w:type="pct"/>
            <w:tcBorders>
              <w:top w:val="single" w:sz="4" w:space="0" w:color="auto"/>
              <w:bottom w:val="single" w:sz="4" w:space="0" w:color="auto"/>
            </w:tcBorders>
            <w:noWrap/>
            <w:tcMar>
              <w:top w:w="15" w:type="dxa"/>
              <w:left w:w="15" w:type="dxa"/>
              <w:bottom w:w="0" w:type="dxa"/>
              <w:right w:w="15" w:type="dxa"/>
            </w:tcMar>
            <w:vAlign w:val="bottom"/>
          </w:tcPr>
          <w:p w:rsidR="005F20FC" w:rsidRDefault="00191971">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Traitements</w:t>
            </w:r>
          </w:p>
        </w:tc>
        <w:tc>
          <w:tcPr>
            <w:tcW w:w="1402" w:type="pct"/>
            <w:tcBorders>
              <w:top w:val="single" w:sz="4" w:space="0" w:color="auto"/>
              <w:bottom w:val="single" w:sz="4" w:space="0" w:color="auto"/>
            </w:tcBorders>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Effectif (n)</w:t>
            </w:r>
          </w:p>
        </w:tc>
        <w:tc>
          <w:tcPr>
            <w:tcW w:w="1699" w:type="pct"/>
            <w:tcBorders>
              <w:top w:val="single" w:sz="4" w:space="0" w:color="auto"/>
              <w:bottom w:val="single" w:sz="4" w:space="0" w:color="auto"/>
            </w:tcBorders>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Pourcentage (%)</w:t>
            </w:r>
          </w:p>
        </w:tc>
      </w:tr>
      <w:tr w:rsidR="005F20FC">
        <w:trPr>
          <w:trHeight w:val="320"/>
        </w:trPr>
        <w:tc>
          <w:tcPr>
            <w:tcW w:w="5000" w:type="pct"/>
            <w:gridSpan w:val="3"/>
            <w:tcBorders>
              <w:top w:val="single" w:sz="4" w:space="0" w:color="auto"/>
            </w:tcBorders>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
                <w:bCs/>
                <w:sz w:val="20"/>
                <w:szCs w:val="20"/>
              </w:rPr>
              <w:t>Prise en charge ventilatoire</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IOT*</w:t>
            </w:r>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47</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85,4</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Trachéotomie</w:t>
            </w:r>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Ventilation mécanique</w:t>
            </w:r>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34,5</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Durée médiane de ventilation en j [IQR]</w:t>
            </w:r>
          </w:p>
        </w:tc>
        <w:tc>
          <w:tcPr>
            <w:tcW w:w="3102" w:type="pct"/>
            <w:gridSpan w:val="2"/>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 [6 - 20]</w:t>
            </w:r>
          </w:p>
        </w:tc>
      </w:tr>
      <w:tr w:rsidR="005F20FC">
        <w:trPr>
          <w:trHeight w:val="320"/>
        </w:trPr>
        <w:tc>
          <w:tcPr>
            <w:tcW w:w="1897" w:type="pct"/>
            <w:noWrap/>
            <w:tcMar>
              <w:top w:w="15" w:type="dxa"/>
              <w:left w:w="15" w:type="dxa"/>
              <w:bottom w:w="0" w:type="dxa"/>
              <w:right w:w="15" w:type="dxa"/>
            </w:tcMar>
            <w:vAlign w:val="bottom"/>
          </w:tcPr>
          <w:p w:rsidR="005F20FC" w:rsidRDefault="00191971">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 Perfusion</w:t>
            </w:r>
          </w:p>
        </w:tc>
        <w:tc>
          <w:tcPr>
            <w:tcW w:w="1402" w:type="pct"/>
            <w:noWrap/>
            <w:tcMar>
              <w:top w:w="15" w:type="dxa"/>
              <w:left w:w="15" w:type="dxa"/>
              <w:bottom w:w="0" w:type="dxa"/>
              <w:right w:w="15" w:type="dxa"/>
            </w:tcMar>
            <w:vAlign w:val="bottom"/>
          </w:tcPr>
          <w:p w:rsidR="005F20FC" w:rsidRDefault="005F20FC">
            <w:pPr>
              <w:spacing w:after="0" w:line="240" w:lineRule="auto"/>
              <w:jc w:val="center"/>
              <w:rPr>
                <w:rFonts w:ascii="Times New Roman" w:eastAsia="Calibri" w:hAnsi="Times New Roman" w:cs="Times New Roman"/>
                <w:sz w:val="20"/>
                <w:szCs w:val="20"/>
              </w:rPr>
            </w:pPr>
          </w:p>
        </w:tc>
        <w:tc>
          <w:tcPr>
            <w:tcW w:w="1699" w:type="pct"/>
            <w:noWrap/>
            <w:tcMar>
              <w:top w:w="15" w:type="dxa"/>
              <w:left w:w="15" w:type="dxa"/>
              <w:bottom w:w="0" w:type="dxa"/>
              <w:right w:w="15" w:type="dxa"/>
            </w:tcMar>
            <w:vAlign w:val="bottom"/>
          </w:tcPr>
          <w:p w:rsidR="005F20FC" w:rsidRDefault="005F20FC">
            <w:pPr>
              <w:spacing w:after="0" w:line="240" w:lineRule="auto"/>
              <w:jc w:val="center"/>
              <w:rPr>
                <w:rFonts w:ascii="Times New Roman" w:eastAsia="Calibri" w:hAnsi="Times New Roman" w:cs="Times New Roman"/>
                <w:sz w:val="20"/>
                <w:szCs w:val="20"/>
              </w:rPr>
            </w:pP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VVP*</w:t>
            </w:r>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40</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VVC*</w:t>
            </w:r>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60</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Remplissage vasculaire (cristalloïdes)</w:t>
            </w:r>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55</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5F20FC">
        <w:trPr>
          <w:trHeight w:val="320"/>
        </w:trPr>
        <w:tc>
          <w:tcPr>
            <w:tcW w:w="1897" w:type="pct"/>
            <w:noWrap/>
            <w:tcMar>
              <w:top w:w="15" w:type="dxa"/>
              <w:left w:w="15" w:type="dxa"/>
              <w:bottom w:w="0" w:type="dxa"/>
              <w:right w:w="15" w:type="dxa"/>
            </w:tcMar>
            <w:vAlign w:val="bottom"/>
          </w:tcPr>
          <w:p w:rsidR="005F20FC" w:rsidRDefault="00191971">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Vasopresseurs</w:t>
            </w:r>
          </w:p>
        </w:tc>
        <w:tc>
          <w:tcPr>
            <w:tcW w:w="1402" w:type="pct"/>
            <w:noWrap/>
            <w:tcMar>
              <w:top w:w="15" w:type="dxa"/>
              <w:left w:w="15" w:type="dxa"/>
              <w:bottom w:w="0" w:type="dxa"/>
              <w:right w:w="15" w:type="dxa"/>
            </w:tcMar>
            <w:vAlign w:val="bottom"/>
          </w:tcPr>
          <w:p w:rsidR="005F20FC" w:rsidRDefault="005F20FC">
            <w:pPr>
              <w:spacing w:after="0" w:line="240" w:lineRule="auto"/>
              <w:jc w:val="center"/>
              <w:rPr>
                <w:rFonts w:ascii="Times New Roman" w:eastAsia="Calibri" w:hAnsi="Times New Roman" w:cs="Times New Roman"/>
                <w:sz w:val="20"/>
                <w:szCs w:val="20"/>
              </w:rPr>
            </w:pPr>
          </w:p>
        </w:tc>
        <w:tc>
          <w:tcPr>
            <w:tcW w:w="1699" w:type="pct"/>
            <w:noWrap/>
            <w:tcMar>
              <w:top w:w="15" w:type="dxa"/>
              <w:left w:w="15" w:type="dxa"/>
              <w:bottom w:w="0" w:type="dxa"/>
              <w:right w:w="15" w:type="dxa"/>
            </w:tcMar>
            <w:vAlign w:val="bottom"/>
          </w:tcPr>
          <w:p w:rsidR="005F20FC" w:rsidRDefault="005F20FC">
            <w:pPr>
              <w:spacing w:after="0" w:line="240" w:lineRule="auto"/>
              <w:jc w:val="center"/>
              <w:rPr>
                <w:rFonts w:ascii="Times New Roman" w:eastAsia="Calibri" w:hAnsi="Times New Roman" w:cs="Times New Roman"/>
                <w:sz w:val="20"/>
                <w:szCs w:val="20"/>
              </w:rPr>
            </w:pP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Noradrénaline</w:t>
            </w:r>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55</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Adrénaline</w:t>
            </w:r>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5,4</w:t>
            </w:r>
          </w:p>
        </w:tc>
      </w:tr>
      <w:tr w:rsidR="005F20FC">
        <w:trPr>
          <w:trHeight w:val="320"/>
        </w:trPr>
        <w:tc>
          <w:tcPr>
            <w:tcW w:w="1897" w:type="pct"/>
            <w:noWrap/>
            <w:tcMar>
              <w:top w:w="15" w:type="dxa"/>
              <w:left w:w="15" w:type="dxa"/>
              <w:bottom w:w="0" w:type="dxa"/>
              <w:right w:w="15" w:type="dxa"/>
            </w:tcMar>
            <w:vAlign w:val="bottom"/>
          </w:tcPr>
          <w:p w:rsidR="005F20FC" w:rsidRDefault="00191971">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Antibiothérapie</w:t>
            </w:r>
          </w:p>
        </w:tc>
        <w:tc>
          <w:tcPr>
            <w:tcW w:w="1402" w:type="pct"/>
            <w:noWrap/>
            <w:tcMar>
              <w:top w:w="15" w:type="dxa"/>
              <w:left w:w="15" w:type="dxa"/>
              <w:bottom w:w="0" w:type="dxa"/>
              <w:right w:w="15" w:type="dxa"/>
            </w:tcMar>
            <w:vAlign w:val="bottom"/>
          </w:tcPr>
          <w:p w:rsidR="005F20FC" w:rsidRDefault="005F20FC">
            <w:pPr>
              <w:spacing w:after="0" w:line="240" w:lineRule="auto"/>
              <w:jc w:val="center"/>
              <w:rPr>
                <w:rFonts w:ascii="Times New Roman" w:eastAsia="Calibri" w:hAnsi="Times New Roman" w:cs="Times New Roman"/>
                <w:sz w:val="20"/>
                <w:szCs w:val="20"/>
              </w:rPr>
            </w:pPr>
          </w:p>
        </w:tc>
        <w:tc>
          <w:tcPr>
            <w:tcW w:w="1699" w:type="pct"/>
            <w:noWrap/>
            <w:tcMar>
              <w:top w:w="15" w:type="dxa"/>
              <w:left w:w="15" w:type="dxa"/>
              <w:bottom w:w="0" w:type="dxa"/>
              <w:right w:w="15" w:type="dxa"/>
            </w:tcMar>
            <w:vAlign w:val="bottom"/>
          </w:tcPr>
          <w:p w:rsidR="005F20FC" w:rsidRDefault="005F20FC">
            <w:pPr>
              <w:spacing w:after="0" w:line="240" w:lineRule="auto"/>
              <w:jc w:val="center"/>
              <w:rPr>
                <w:rFonts w:ascii="Times New Roman" w:eastAsia="Calibri" w:hAnsi="Times New Roman" w:cs="Times New Roman"/>
                <w:sz w:val="20"/>
                <w:szCs w:val="20"/>
              </w:rPr>
            </w:pP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Aminosides</w:t>
            </w:r>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43,6</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Quinolones</w:t>
            </w:r>
          </w:p>
        </w:tc>
        <w:tc>
          <w:tcPr>
            <w:tcW w:w="1402" w:type="pct"/>
            <w:noWrap/>
            <w:tcMar>
              <w:top w:w="15" w:type="dxa"/>
              <w:left w:w="15"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699" w:type="pct"/>
            <w:noWrap/>
            <w:tcMar>
              <w:top w:w="15" w:type="dxa"/>
              <w:left w:w="9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40</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Pénèmes</w:t>
            </w:r>
            <w:proofErr w:type="spellEnd"/>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23,6</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C3G</w:t>
            </w:r>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14,5</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Imidazolés</w:t>
            </w:r>
            <w:proofErr w:type="spellEnd"/>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12,7</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Lincomicines</w:t>
            </w:r>
            <w:proofErr w:type="spellEnd"/>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9,1</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Polymixines</w:t>
            </w:r>
            <w:proofErr w:type="spellEnd"/>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9,1</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Phénicolés</w:t>
            </w:r>
            <w:proofErr w:type="spellEnd"/>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7,3</w:t>
            </w:r>
          </w:p>
        </w:tc>
      </w:tr>
      <w:tr w:rsidR="005F20FC">
        <w:trPr>
          <w:trHeight w:val="320"/>
        </w:trPr>
        <w:tc>
          <w:tcPr>
            <w:tcW w:w="1897" w:type="pct"/>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Béta </w:t>
            </w:r>
            <w:proofErr w:type="spellStart"/>
            <w:r>
              <w:rPr>
                <w:rFonts w:ascii="Times New Roman" w:eastAsia="Calibri" w:hAnsi="Times New Roman" w:cs="Times New Roman"/>
                <w:sz w:val="20"/>
                <w:szCs w:val="20"/>
              </w:rPr>
              <w:t>lactamines</w:t>
            </w:r>
            <w:proofErr w:type="spellEnd"/>
          </w:p>
        </w:tc>
        <w:tc>
          <w:tcPr>
            <w:tcW w:w="1402" w:type="pct"/>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699" w:type="pct"/>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5,4</w:t>
            </w:r>
          </w:p>
        </w:tc>
      </w:tr>
      <w:tr w:rsidR="005F20FC">
        <w:trPr>
          <w:trHeight w:val="320"/>
        </w:trPr>
        <w:tc>
          <w:tcPr>
            <w:tcW w:w="1897" w:type="pct"/>
            <w:tcBorders>
              <w:bottom w:val="single" w:sz="4" w:space="0" w:color="auto"/>
            </w:tcBorders>
            <w:noWrap/>
            <w:tcMar>
              <w:top w:w="15" w:type="dxa"/>
              <w:left w:w="90" w:type="dxa"/>
              <w:bottom w:w="0" w:type="dxa"/>
              <w:right w:w="15" w:type="dxa"/>
            </w:tcMar>
            <w:vAlign w:val="bottom"/>
          </w:tcPr>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Antituberculeux</w:t>
            </w:r>
          </w:p>
        </w:tc>
        <w:tc>
          <w:tcPr>
            <w:tcW w:w="1402" w:type="pct"/>
            <w:tcBorders>
              <w:bottom w:val="single" w:sz="4" w:space="0" w:color="auto"/>
            </w:tcBorders>
            <w:noWrap/>
            <w:tcMar>
              <w:top w:w="15" w:type="dxa"/>
              <w:left w:w="15" w:type="dxa"/>
              <w:bottom w:w="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699" w:type="pct"/>
            <w:tcBorders>
              <w:bottom w:val="single" w:sz="4" w:space="0" w:color="auto"/>
            </w:tcBorders>
            <w:noWrap/>
            <w:tcMar>
              <w:top w:w="15" w:type="dxa"/>
              <w:left w:w="90" w:type="dxa"/>
              <w:right w:w="15" w:type="dxa"/>
            </w:tcMar>
            <w:vAlign w:val="bottom"/>
          </w:tcPr>
          <w:p w:rsidR="005F20FC" w:rsidRDefault="0019197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w:t>
            </w:r>
          </w:p>
        </w:tc>
      </w:tr>
    </w:tbl>
    <w:p w:rsidR="005F20FC" w:rsidRDefault="00191971">
      <w:pPr>
        <w:pStyle w:val="Titre3"/>
        <w:spacing w:beforeAutospacing="0" w:after="0" w:afterAutospacing="0" w:line="240" w:lineRule="auto"/>
        <w:jc w:val="both"/>
        <w:rPr>
          <w:rFonts w:ascii="Times New Roman" w:hAnsi="Times New Roman" w:hint="default"/>
          <w:b w:val="0"/>
          <w:i/>
          <w:iCs/>
          <w:sz w:val="20"/>
          <w:szCs w:val="20"/>
        </w:rPr>
      </w:pPr>
      <w:r>
        <w:rPr>
          <w:rFonts w:ascii="Times New Roman" w:eastAsia="Times New Roman" w:hAnsi="Times New Roman" w:hint="default"/>
          <w:b w:val="0"/>
          <w:i/>
          <w:iCs/>
          <w:sz w:val="20"/>
          <w:szCs w:val="20"/>
        </w:rPr>
        <w:t>*</w:t>
      </w:r>
      <w:proofErr w:type="gramStart"/>
      <w:r>
        <w:rPr>
          <w:rFonts w:ascii="Times New Roman" w:eastAsia="Times New Roman" w:hAnsi="Times New Roman" w:hint="default"/>
          <w:b w:val="0"/>
          <w:i/>
          <w:iCs/>
          <w:sz w:val="20"/>
          <w:szCs w:val="20"/>
        </w:rPr>
        <w:t>IOT :</w:t>
      </w:r>
      <w:proofErr w:type="gramEnd"/>
      <w:r>
        <w:rPr>
          <w:rFonts w:ascii="Times New Roman" w:eastAsia="Times New Roman" w:hAnsi="Times New Roman" w:hint="default"/>
          <w:b w:val="0"/>
          <w:i/>
          <w:iCs/>
          <w:sz w:val="20"/>
          <w:szCs w:val="20"/>
        </w:rPr>
        <w:t xml:space="preserve"> Intubation </w:t>
      </w:r>
      <w:proofErr w:type="spellStart"/>
      <w:r>
        <w:rPr>
          <w:rFonts w:ascii="Times New Roman" w:eastAsia="Times New Roman" w:hAnsi="Times New Roman" w:hint="default"/>
          <w:b w:val="0"/>
          <w:i/>
          <w:iCs/>
          <w:sz w:val="20"/>
          <w:szCs w:val="20"/>
        </w:rPr>
        <w:t>oro-trachéale</w:t>
      </w:r>
      <w:proofErr w:type="spellEnd"/>
      <w:r>
        <w:rPr>
          <w:rFonts w:ascii="Times New Roman" w:eastAsia="Times New Roman" w:hAnsi="Times New Roman" w:hint="default"/>
          <w:b w:val="0"/>
          <w:i/>
          <w:iCs/>
          <w:sz w:val="20"/>
          <w:szCs w:val="20"/>
        </w:rPr>
        <w:t xml:space="preserve">, </w:t>
      </w:r>
      <w:r>
        <w:rPr>
          <w:rFonts w:ascii="Times New Roman" w:hAnsi="Times New Roman" w:hint="default"/>
          <w:b w:val="0"/>
          <w:i/>
          <w:iCs/>
          <w:sz w:val="20"/>
          <w:szCs w:val="20"/>
        </w:rPr>
        <w:t>IQR :</w:t>
      </w:r>
      <w:r>
        <w:rPr>
          <w:rFonts w:ascii="Times New Roman" w:eastAsia="Times New Roman" w:hAnsi="Times New Roman" w:hint="default"/>
          <w:b w:val="0"/>
          <w:i/>
          <w:iCs/>
          <w:sz w:val="20"/>
          <w:szCs w:val="20"/>
        </w:rPr>
        <w:t xml:space="preserve"> </w:t>
      </w:r>
      <w:proofErr w:type="spellStart"/>
      <w:r>
        <w:rPr>
          <w:rFonts w:ascii="Times New Roman" w:eastAsia="Times New Roman" w:hAnsi="Times New Roman" w:hint="default"/>
          <w:b w:val="0"/>
          <w:i/>
          <w:iCs/>
          <w:sz w:val="20"/>
          <w:szCs w:val="20"/>
        </w:rPr>
        <w:t>Intervalle</w:t>
      </w:r>
      <w:proofErr w:type="spellEnd"/>
      <w:r>
        <w:rPr>
          <w:rFonts w:ascii="Times New Roman" w:eastAsia="Times New Roman" w:hAnsi="Times New Roman" w:hint="default"/>
          <w:b w:val="0"/>
          <w:i/>
          <w:iCs/>
          <w:sz w:val="20"/>
          <w:szCs w:val="20"/>
        </w:rPr>
        <w:t xml:space="preserve"> interquartile; </w:t>
      </w:r>
      <w:r>
        <w:rPr>
          <w:rFonts w:ascii="Times New Roman" w:hAnsi="Times New Roman" w:hint="default"/>
          <w:b w:val="0"/>
          <w:i/>
          <w:iCs/>
          <w:sz w:val="20"/>
          <w:szCs w:val="20"/>
        </w:rPr>
        <w:t>VVP :</w:t>
      </w:r>
      <w:proofErr w:type="spellStart"/>
      <w:r>
        <w:rPr>
          <w:rFonts w:ascii="Times New Roman" w:hAnsi="Times New Roman" w:hint="default"/>
          <w:b w:val="0"/>
          <w:i/>
          <w:iCs/>
          <w:sz w:val="20"/>
          <w:szCs w:val="20"/>
        </w:rPr>
        <w:t>Voie</w:t>
      </w:r>
      <w:proofErr w:type="spellEnd"/>
      <w:r>
        <w:rPr>
          <w:rFonts w:ascii="Times New Roman" w:hAnsi="Times New Roman" w:hint="default"/>
          <w:b w:val="0"/>
          <w:i/>
          <w:iCs/>
          <w:sz w:val="20"/>
          <w:szCs w:val="20"/>
        </w:rPr>
        <w:t xml:space="preserve"> </w:t>
      </w:r>
      <w:proofErr w:type="spellStart"/>
      <w:r>
        <w:rPr>
          <w:rFonts w:ascii="Times New Roman" w:hAnsi="Times New Roman" w:hint="default"/>
          <w:b w:val="0"/>
          <w:i/>
          <w:iCs/>
          <w:sz w:val="20"/>
          <w:szCs w:val="20"/>
        </w:rPr>
        <w:t>veineuse</w:t>
      </w:r>
      <w:proofErr w:type="spellEnd"/>
      <w:r>
        <w:rPr>
          <w:rFonts w:ascii="Times New Roman" w:hAnsi="Times New Roman" w:hint="default"/>
          <w:b w:val="0"/>
          <w:i/>
          <w:iCs/>
          <w:sz w:val="20"/>
          <w:szCs w:val="20"/>
        </w:rPr>
        <w:t xml:space="preserve"> </w:t>
      </w:r>
      <w:proofErr w:type="spellStart"/>
      <w:r>
        <w:rPr>
          <w:rFonts w:ascii="Times New Roman" w:hAnsi="Times New Roman" w:hint="default"/>
          <w:b w:val="0"/>
          <w:i/>
          <w:iCs/>
          <w:sz w:val="20"/>
          <w:szCs w:val="20"/>
        </w:rPr>
        <w:t>périphérique</w:t>
      </w:r>
      <w:proofErr w:type="spellEnd"/>
      <w:r>
        <w:rPr>
          <w:rFonts w:ascii="Times New Roman" w:hAnsi="Times New Roman" w:hint="default"/>
          <w:b w:val="0"/>
          <w:i/>
          <w:iCs/>
          <w:sz w:val="20"/>
          <w:szCs w:val="20"/>
        </w:rPr>
        <w:t xml:space="preserve">, VVC : </w:t>
      </w:r>
      <w:proofErr w:type="spellStart"/>
      <w:r>
        <w:rPr>
          <w:rFonts w:ascii="Times New Roman" w:hAnsi="Times New Roman" w:hint="default"/>
          <w:b w:val="0"/>
          <w:i/>
          <w:iCs/>
          <w:sz w:val="20"/>
          <w:szCs w:val="20"/>
        </w:rPr>
        <w:t>Voie</w:t>
      </w:r>
      <w:proofErr w:type="spellEnd"/>
      <w:r>
        <w:rPr>
          <w:rFonts w:ascii="Times New Roman" w:hAnsi="Times New Roman" w:hint="default"/>
          <w:b w:val="0"/>
          <w:i/>
          <w:iCs/>
          <w:sz w:val="20"/>
          <w:szCs w:val="20"/>
        </w:rPr>
        <w:t xml:space="preserve"> </w:t>
      </w:r>
      <w:proofErr w:type="spellStart"/>
      <w:r>
        <w:rPr>
          <w:rFonts w:ascii="Times New Roman" w:hAnsi="Times New Roman" w:hint="default"/>
          <w:b w:val="0"/>
          <w:i/>
          <w:iCs/>
          <w:sz w:val="20"/>
          <w:szCs w:val="20"/>
        </w:rPr>
        <w:t>veineuse</w:t>
      </w:r>
      <w:proofErr w:type="spellEnd"/>
      <w:r>
        <w:rPr>
          <w:rFonts w:ascii="Times New Roman" w:hAnsi="Times New Roman" w:hint="default"/>
          <w:b w:val="0"/>
          <w:i/>
          <w:iCs/>
          <w:sz w:val="20"/>
          <w:szCs w:val="20"/>
        </w:rPr>
        <w:t xml:space="preserve"> </w:t>
      </w:r>
      <w:proofErr w:type="spellStart"/>
      <w:r>
        <w:rPr>
          <w:rFonts w:ascii="Times New Roman" w:hAnsi="Times New Roman" w:hint="default"/>
          <w:b w:val="0"/>
          <w:i/>
          <w:iCs/>
          <w:sz w:val="20"/>
          <w:szCs w:val="20"/>
        </w:rPr>
        <w:t>centrale</w:t>
      </w:r>
      <w:proofErr w:type="spellEnd"/>
      <w:r>
        <w:rPr>
          <w:rFonts w:ascii="Times New Roman" w:hAnsi="Times New Roman" w:hint="default"/>
          <w:b w:val="0"/>
          <w:i/>
          <w:iCs/>
          <w:sz w:val="20"/>
          <w:szCs w:val="20"/>
        </w:rPr>
        <w:t xml:space="preserve">, C3G : </w:t>
      </w:r>
      <w:proofErr w:type="spellStart"/>
      <w:r>
        <w:rPr>
          <w:rFonts w:ascii="Times New Roman" w:hAnsi="Times New Roman" w:hint="default"/>
          <w:b w:val="0"/>
          <w:i/>
          <w:iCs/>
          <w:sz w:val="20"/>
          <w:szCs w:val="20"/>
        </w:rPr>
        <w:t>Céphalosporine</w:t>
      </w:r>
      <w:proofErr w:type="spellEnd"/>
      <w:r>
        <w:rPr>
          <w:rFonts w:ascii="Times New Roman" w:hAnsi="Times New Roman" w:hint="default"/>
          <w:b w:val="0"/>
          <w:i/>
          <w:iCs/>
          <w:sz w:val="20"/>
          <w:szCs w:val="20"/>
        </w:rPr>
        <w:t xml:space="preserve"> de 3</w:t>
      </w:r>
      <w:r>
        <w:rPr>
          <w:rFonts w:ascii="Times New Roman" w:hAnsi="Times New Roman" w:hint="default"/>
          <w:b w:val="0"/>
          <w:i/>
          <w:iCs/>
          <w:sz w:val="20"/>
          <w:szCs w:val="20"/>
          <w:vertAlign w:val="superscript"/>
        </w:rPr>
        <w:t>ème</w:t>
      </w:r>
      <w:r>
        <w:rPr>
          <w:rFonts w:ascii="Times New Roman" w:hAnsi="Times New Roman" w:hint="default"/>
          <w:b w:val="0"/>
          <w:i/>
          <w:iCs/>
          <w:sz w:val="20"/>
          <w:szCs w:val="20"/>
        </w:rPr>
        <w:t xml:space="preserve"> </w:t>
      </w:r>
      <w:proofErr w:type="spellStart"/>
      <w:r>
        <w:rPr>
          <w:rFonts w:ascii="Times New Roman" w:hAnsi="Times New Roman" w:hint="default"/>
          <w:b w:val="0"/>
          <w:i/>
          <w:iCs/>
          <w:sz w:val="20"/>
          <w:szCs w:val="20"/>
        </w:rPr>
        <w:t>génération</w:t>
      </w:r>
      <w:proofErr w:type="spellEnd"/>
    </w:p>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L’hyponatrémie (14,5 % ; n= 8) et l’escarre (14,5 % ; n= 8) ont été les principaux évènements pathologiques identifiés chez ces patients. </w:t>
      </w:r>
    </w:p>
    <w:p w:rsidR="005F20FC" w:rsidRDefault="0019197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La mortalité était de 71 % (n= 39). Après étude statistique, l’âge médian élevé (p= 0,036), la SpO</w:t>
      </w:r>
      <w:r>
        <w:rPr>
          <w:rFonts w:ascii="Times New Roman" w:eastAsia="Calibri" w:hAnsi="Times New Roman" w:cs="Times New Roman"/>
          <w:sz w:val="20"/>
          <w:szCs w:val="20"/>
          <w:vertAlign w:val="subscript"/>
        </w:rPr>
        <w:t>2</w:t>
      </w:r>
      <w:r>
        <w:rPr>
          <w:rFonts w:ascii="Times New Roman" w:eastAsia="Calibri" w:hAnsi="Times New Roman" w:cs="Times New Roman"/>
          <w:sz w:val="20"/>
          <w:szCs w:val="20"/>
        </w:rPr>
        <w:t xml:space="preserve"> basse avant l’état de </w:t>
      </w:r>
      <w:proofErr w:type="gramStart"/>
      <w:r>
        <w:rPr>
          <w:rFonts w:ascii="Times New Roman" w:eastAsia="Calibri" w:hAnsi="Times New Roman" w:cs="Times New Roman"/>
          <w:sz w:val="20"/>
          <w:szCs w:val="20"/>
        </w:rPr>
        <w:t>choc  (</w:t>
      </w:r>
      <w:proofErr w:type="gramEnd"/>
      <w:r>
        <w:rPr>
          <w:rFonts w:ascii="Times New Roman" w:eastAsia="Calibri" w:hAnsi="Times New Roman" w:cs="Times New Roman"/>
          <w:sz w:val="20"/>
          <w:szCs w:val="20"/>
        </w:rPr>
        <w:t>p= 0,013), un score à l’échelle de Glasgow bas pendant l’état de choc (p= 0,025), la présence d’une anomalie pupillaire (p= 0,026) et le recours à la ventilation mécanique (p=0,004) ont été des facteurs associés à la mortalité des patients.</w:t>
      </w:r>
      <w:r>
        <w:rPr>
          <w:rFonts w:ascii="Times New Roman" w:eastAsia="Segoe UI" w:hAnsi="Times New Roman" w:cs="Times New Roman"/>
          <w:sz w:val="20"/>
          <w:szCs w:val="20"/>
          <w:shd w:val="clear" w:color="auto" w:fill="FFFFFF"/>
        </w:rPr>
        <w:t xml:space="preserve"> Les survivants restaient plus longtemps (33 </w:t>
      </w:r>
      <w:r>
        <w:rPr>
          <w:rFonts w:ascii="Times New Roman" w:eastAsia="Segoe UI" w:hAnsi="Times New Roman" w:cs="Times New Roman"/>
          <w:i/>
          <w:iCs/>
          <w:sz w:val="20"/>
          <w:szCs w:val="20"/>
          <w:shd w:val="clear" w:color="auto" w:fill="FFFFFF"/>
        </w:rPr>
        <w:t>vs</w:t>
      </w:r>
      <w:r>
        <w:rPr>
          <w:rFonts w:ascii="Times New Roman" w:eastAsia="Segoe UI" w:hAnsi="Times New Roman" w:cs="Times New Roman"/>
          <w:sz w:val="20"/>
          <w:szCs w:val="20"/>
          <w:shd w:val="clear" w:color="auto" w:fill="FFFFFF"/>
        </w:rPr>
        <w:t xml:space="preserve"> 20 jours, p=0,015) à l’hôpital.</w:t>
      </w:r>
    </w:p>
    <w:p w:rsidR="005F20FC" w:rsidRDefault="005F20FC">
      <w:pPr>
        <w:spacing w:after="0" w:line="240" w:lineRule="auto"/>
        <w:jc w:val="both"/>
        <w:rPr>
          <w:rFonts w:ascii="Times New Roman" w:eastAsia="Calibri" w:hAnsi="Times New Roman" w:cs="Times New Roman"/>
          <w:b/>
          <w:iCs/>
          <w:sz w:val="20"/>
          <w:szCs w:val="20"/>
        </w:rPr>
      </w:pPr>
    </w:p>
    <w:p w:rsidR="005F20FC" w:rsidRDefault="005F20FC">
      <w:pPr>
        <w:spacing w:after="0" w:line="240" w:lineRule="auto"/>
        <w:jc w:val="both"/>
        <w:rPr>
          <w:rFonts w:ascii="Times New Roman" w:eastAsia="Calibri" w:hAnsi="Times New Roman" w:cs="Times New Roman"/>
          <w:b/>
          <w:iCs/>
          <w:sz w:val="20"/>
          <w:szCs w:val="20"/>
        </w:rPr>
      </w:pPr>
    </w:p>
    <w:p w:rsidR="005F20FC" w:rsidRDefault="00191971">
      <w:pPr>
        <w:spacing w:after="0" w:line="240" w:lineRule="auto"/>
        <w:jc w:val="both"/>
        <w:rPr>
          <w:rFonts w:ascii="Times New Roman" w:eastAsia="Segoe UI" w:hAnsi="Times New Roman" w:cs="Times New Roman"/>
          <w:sz w:val="20"/>
          <w:szCs w:val="20"/>
          <w:shd w:val="clear" w:color="auto" w:fill="FFFFFF"/>
        </w:rPr>
      </w:pPr>
      <w:r>
        <w:rPr>
          <w:rFonts w:ascii="Times New Roman" w:eastAsia="Calibri" w:hAnsi="Times New Roman" w:cs="Times New Roman"/>
          <w:b/>
          <w:iCs/>
          <w:sz w:val="20"/>
          <w:szCs w:val="20"/>
        </w:rPr>
        <w:t xml:space="preserve">Tableau </w:t>
      </w:r>
      <w:proofErr w:type="gramStart"/>
      <w:r>
        <w:rPr>
          <w:rFonts w:ascii="Times New Roman" w:eastAsia="Calibri" w:hAnsi="Times New Roman" w:cs="Times New Roman"/>
          <w:b/>
          <w:iCs/>
          <w:sz w:val="20"/>
          <w:szCs w:val="20"/>
        </w:rPr>
        <w:t>V:</w:t>
      </w:r>
      <w:proofErr w:type="gramEnd"/>
      <w:r>
        <w:rPr>
          <w:rFonts w:ascii="Times New Roman" w:eastAsia="Calibri" w:hAnsi="Times New Roman" w:cs="Times New Roman"/>
          <w:b/>
          <w:iCs/>
          <w:sz w:val="20"/>
          <w:szCs w:val="20"/>
        </w:rPr>
        <w:t xml:space="preserve"> Résultats analytiques</w:t>
      </w:r>
    </w:p>
    <w:p w:rsidR="005F20FC" w:rsidRDefault="005F20FC">
      <w:pPr>
        <w:tabs>
          <w:tab w:val="left" w:pos="1560"/>
        </w:tabs>
        <w:spacing w:after="0" w:line="240" w:lineRule="auto"/>
        <w:jc w:val="both"/>
        <w:rPr>
          <w:rFonts w:ascii="Times New Roman" w:eastAsia="Calibri" w:hAnsi="Times New Roman" w:cs="Times New Roman"/>
          <w:b/>
          <w:iCs/>
          <w:sz w:val="20"/>
          <w:szCs w:val="20"/>
        </w:rPr>
      </w:pPr>
    </w:p>
    <w:tbl>
      <w:tblPr>
        <w:tblW w:w="4894" w:type="pct"/>
        <w:tblLayout w:type="fixed"/>
        <w:tblCellMar>
          <w:left w:w="70" w:type="dxa"/>
          <w:right w:w="70" w:type="dxa"/>
        </w:tblCellMar>
        <w:tblLook w:val="04A0" w:firstRow="1" w:lastRow="0" w:firstColumn="1" w:lastColumn="0" w:noHBand="0" w:noVBand="1"/>
      </w:tblPr>
      <w:tblGrid>
        <w:gridCol w:w="1477"/>
        <w:gridCol w:w="1093"/>
        <w:gridCol w:w="960"/>
        <w:gridCol w:w="700"/>
      </w:tblGrid>
      <w:tr w:rsidR="005F20FC">
        <w:trPr>
          <w:trHeight w:val="320"/>
        </w:trPr>
        <w:tc>
          <w:tcPr>
            <w:tcW w:w="1745" w:type="pct"/>
            <w:vMerge w:val="restart"/>
            <w:tcBorders>
              <w:top w:val="single" w:sz="4" w:space="0" w:color="auto"/>
              <w:bottom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Paramètres</w:t>
            </w:r>
          </w:p>
        </w:tc>
        <w:tc>
          <w:tcPr>
            <w:tcW w:w="2427" w:type="pct"/>
            <w:gridSpan w:val="2"/>
            <w:tcBorders>
              <w:top w:val="single" w:sz="4" w:space="0" w:color="auto"/>
            </w:tcBorders>
            <w:noWrap/>
            <w:vAlign w:val="center"/>
          </w:tcPr>
          <w:p w:rsidR="005F20FC" w:rsidRDefault="00191971">
            <w:pPr>
              <w:spacing w:after="0" w:line="240" w:lineRule="auto"/>
              <w:jc w:val="cente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Issue</w:t>
            </w:r>
          </w:p>
        </w:tc>
        <w:tc>
          <w:tcPr>
            <w:tcW w:w="827" w:type="pct"/>
            <w:vMerge w:val="restart"/>
            <w:tcBorders>
              <w:top w:val="single" w:sz="4" w:space="0" w:color="auto"/>
              <w:bottom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p</w:t>
            </w:r>
          </w:p>
        </w:tc>
      </w:tr>
      <w:tr w:rsidR="005F20FC">
        <w:trPr>
          <w:trHeight w:val="320"/>
        </w:trPr>
        <w:tc>
          <w:tcPr>
            <w:tcW w:w="1745" w:type="pct"/>
            <w:vMerge/>
            <w:tcBorders>
              <w:bottom w:val="single" w:sz="4" w:space="0" w:color="auto"/>
            </w:tcBorders>
            <w:vAlign w:val="center"/>
          </w:tcPr>
          <w:p w:rsidR="005F20FC" w:rsidRDefault="005F20FC">
            <w:pPr>
              <w:spacing w:after="0" w:line="240" w:lineRule="auto"/>
              <w:jc w:val="both"/>
              <w:rPr>
                <w:rFonts w:ascii="Times New Roman" w:eastAsia="Times New Roman" w:hAnsi="Times New Roman" w:cs="Times New Roman"/>
                <w:b/>
                <w:bCs/>
                <w:sz w:val="20"/>
                <w:szCs w:val="20"/>
                <w:lang w:eastAsia="fr-FR"/>
              </w:rPr>
            </w:pPr>
          </w:p>
        </w:tc>
        <w:tc>
          <w:tcPr>
            <w:tcW w:w="1292" w:type="pct"/>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Décédés</w:t>
            </w:r>
          </w:p>
        </w:tc>
        <w:tc>
          <w:tcPr>
            <w:tcW w:w="1134" w:type="pct"/>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Vivants</w:t>
            </w:r>
          </w:p>
        </w:tc>
        <w:tc>
          <w:tcPr>
            <w:tcW w:w="827" w:type="pct"/>
            <w:vMerge/>
            <w:tcBorders>
              <w:bottom w:val="single" w:sz="4" w:space="0" w:color="auto"/>
            </w:tcBorders>
            <w:vAlign w:val="center"/>
          </w:tcPr>
          <w:p w:rsidR="005F20FC" w:rsidRDefault="005F20FC">
            <w:pPr>
              <w:spacing w:after="0" w:line="240" w:lineRule="auto"/>
              <w:jc w:val="both"/>
              <w:rPr>
                <w:rFonts w:ascii="Times New Roman" w:eastAsia="Times New Roman" w:hAnsi="Times New Roman" w:cs="Times New Roman"/>
                <w:b/>
                <w:bCs/>
                <w:sz w:val="20"/>
                <w:szCs w:val="20"/>
                <w:lang w:eastAsia="fr-FR"/>
              </w:rPr>
            </w:pPr>
          </w:p>
        </w:tc>
      </w:tr>
      <w:tr w:rsidR="005F20FC">
        <w:trPr>
          <w:trHeight w:val="320"/>
        </w:trPr>
        <w:tc>
          <w:tcPr>
            <w:tcW w:w="1745" w:type="pct"/>
            <w:vMerge/>
            <w:tcBorders>
              <w:bottom w:val="single" w:sz="4" w:space="0" w:color="auto"/>
            </w:tcBorders>
            <w:vAlign w:val="center"/>
          </w:tcPr>
          <w:p w:rsidR="005F20FC" w:rsidRDefault="005F20FC">
            <w:pPr>
              <w:spacing w:after="0" w:line="240" w:lineRule="auto"/>
              <w:jc w:val="both"/>
              <w:rPr>
                <w:rFonts w:ascii="Times New Roman" w:eastAsia="Times New Roman" w:hAnsi="Times New Roman" w:cs="Times New Roman"/>
                <w:b/>
                <w:bCs/>
                <w:sz w:val="20"/>
                <w:szCs w:val="20"/>
                <w:lang w:eastAsia="fr-FR"/>
              </w:rPr>
            </w:pPr>
          </w:p>
        </w:tc>
        <w:tc>
          <w:tcPr>
            <w:tcW w:w="1292" w:type="pct"/>
            <w:tcBorders>
              <w:bottom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n=39</w:t>
            </w:r>
          </w:p>
        </w:tc>
        <w:tc>
          <w:tcPr>
            <w:tcW w:w="1134" w:type="pct"/>
            <w:tcBorders>
              <w:bottom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n=16</w:t>
            </w:r>
          </w:p>
        </w:tc>
        <w:tc>
          <w:tcPr>
            <w:tcW w:w="827" w:type="pct"/>
            <w:vMerge/>
            <w:tcBorders>
              <w:bottom w:val="single" w:sz="4" w:space="0" w:color="auto"/>
            </w:tcBorders>
            <w:vAlign w:val="center"/>
          </w:tcPr>
          <w:p w:rsidR="005F20FC" w:rsidRDefault="005F20FC">
            <w:pPr>
              <w:spacing w:after="0" w:line="240" w:lineRule="auto"/>
              <w:jc w:val="both"/>
              <w:rPr>
                <w:rFonts w:ascii="Times New Roman" w:eastAsia="Times New Roman" w:hAnsi="Times New Roman" w:cs="Times New Roman"/>
                <w:b/>
                <w:bCs/>
                <w:sz w:val="20"/>
                <w:szCs w:val="20"/>
                <w:lang w:eastAsia="fr-FR"/>
              </w:rPr>
            </w:pPr>
          </w:p>
        </w:tc>
      </w:tr>
      <w:tr w:rsidR="005F20FC">
        <w:trPr>
          <w:trHeight w:val="320"/>
        </w:trPr>
        <w:tc>
          <w:tcPr>
            <w:tcW w:w="1745" w:type="pct"/>
            <w:tcBorders>
              <w:top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Age médian en année [IQR]</w:t>
            </w:r>
          </w:p>
        </w:tc>
        <w:tc>
          <w:tcPr>
            <w:tcW w:w="1292" w:type="pct"/>
            <w:tcBorders>
              <w:top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53 [44 - 62,5]</w:t>
            </w:r>
          </w:p>
        </w:tc>
        <w:tc>
          <w:tcPr>
            <w:tcW w:w="1134" w:type="pct"/>
            <w:tcBorders>
              <w:top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38,5 [23,5 - 56,2] </w:t>
            </w:r>
          </w:p>
        </w:tc>
        <w:tc>
          <w:tcPr>
            <w:tcW w:w="827" w:type="pct"/>
            <w:tcBorders>
              <w:top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0,036</w:t>
            </w:r>
          </w:p>
        </w:tc>
      </w:tr>
      <w:tr w:rsidR="005F20FC">
        <w:trPr>
          <w:trHeight w:val="320"/>
        </w:trPr>
        <w:tc>
          <w:tcPr>
            <w:tcW w:w="1745" w:type="pct"/>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Avant le choc</w:t>
            </w:r>
          </w:p>
        </w:tc>
        <w:tc>
          <w:tcPr>
            <w:tcW w:w="1292" w:type="pct"/>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w:t>
            </w:r>
          </w:p>
        </w:tc>
        <w:tc>
          <w:tcPr>
            <w:tcW w:w="1134" w:type="pct"/>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w:t>
            </w:r>
          </w:p>
        </w:tc>
        <w:tc>
          <w:tcPr>
            <w:tcW w:w="827" w:type="pct"/>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 </w:t>
            </w:r>
          </w:p>
        </w:tc>
      </w:tr>
      <w:tr w:rsidR="005F20FC">
        <w:trPr>
          <w:trHeight w:val="320"/>
        </w:trPr>
        <w:tc>
          <w:tcPr>
            <w:tcW w:w="174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SpO</w:t>
            </w:r>
            <w:r>
              <w:rPr>
                <w:rFonts w:ascii="Times New Roman" w:eastAsia="Times New Roman" w:hAnsi="Times New Roman" w:cs="Times New Roman"/>
                <w:sz w:val="20"/>
                <w:szCs w:val="20"/>
                <w:vertAlign w:val="subscript"/>
                <w:lang w:eastAsia="fr-FR"/>
              </w:rPr>
              <w:t>2*</w:t>
            </w:r>
            <w:r>
              <w:rPr>
                <w:rFonts w:ascii="Times New Roman" w:eastAsia="Times New Roman" w:hAnsi="Times New Roman" w:cs="Times New Roman"/>
                <w:sz w:val="20"/>
                <w:szCs w:val="20"/>
                <w:lang w:eastAsia="fr-FR"/>
              </w:rPr>
              <w:t xml:space="preserve"> médiane en % [IQR]</w:t>
            </w:r>
          </w:p>
        </w:tc>
        <w:tc>
          <w:tcPr>
            <w:tcW w:w="1292" w:type="pct"/>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96 [95 - 96]</w:t>
            </w:r>
          </w:p>
        </w:tc>
        <w:tc>
          <w:tcPr>
            <w:tcW w:w="1134" w:type="pct"/>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97 [96 - 98]</w:t>
            </w:r>
          </w:p>
        </w:tc>
        <w:tc>
          <w:tcPr>
            <w:tcW w:w="827" w:type="pct"/>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0,013</w:t>
            </w:r>
          </w:p>
        </w:tc>
      </w:tr>
      <w:tr w:rsidR="005F20FC">
        <w:trPr>
          <w:trHeight w:val="320"/>
        </w:trPr>
        <w:tc>
          <w:tcPr>
            <w:tcW w:w="1745" w:type="pct"/>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Pendant le choc</w:t>
            </w:r>
          </w:p>
        </w:tc>
        <w:tc>
          <w:tcPr>
            <w:tcW w:w="1292" w:type="pct"/>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w:t>
            </w:r>
          </w:p>
        </w:tc>
        <w:tc>
          <w:tcPr>
            <w:tcW w:w="1134" w:type="pct"/>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w:t>
            </w:r>
          </w:p>
        </w:tc>
        <w:tc>
          <w:tcPr>
            <w:tcW w:w="827" w:type="pct"/>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 </w:t>
            </w:r>
          </w:p>
        </w:tc>
      </w:tr>
      <w:tr w:rsidR="005F20FC">
        <w:trPr>
          <w:trHeight w:val="320"/>
        </w:trPr>
        <w:tc>
          <w:tcPr>
            <w:tcW w:w="174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GCS* médiane /15 [IQR]</w:t>
            </w:r>
          </w:p>
        </w:tc>
        <w:tc>
          <w:tcPr>
            <w:tcW w:w="1292" w:type="pct"/>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7 [6-10]</w:t>
            </w:r>
          </w:p>
        </w:tc>
        <w:tc>
          <w:tcPr>
            <w:tcW w:w="1134" w:type="pct"/>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10 [8,7 - 11]</w:t>
            </w:r>
          </w:p>
        </w:tc>
        <w:tc>
          <w:tcPr>
            <w:tcW w:w="827" w:type="pct"/>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0,025</w:t>
            </w:r>
          </w:p>
        </w:tc>
      </w:tr>
      <w:tr w:rsidR="005F20FC">
        <w:trPr>
          <w:trHeight w:val="320"/>
        </w:trPr>
        <w:tc>
          <w:tcPr>
            <w:tcW w:w="174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Présence d'anomalie pupillaire</w:t>
            </w:r>
          </w:p>
        </w:tc>
        <w:tc>
          <w:tcPr>
            <w:tcW w:w="1292"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20</w:t>
            </w:r>
          </w:p>
        </w:tc>
        <w:tc>
          <w:tcPr>
            <w:tcW w:w="1134"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w:t>
            </w:r>
          </w:p>
        </w:tc>
        <w:tc>
          <w:tcPr>
            <w:tcW w:w="827" w:type="pct"/>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0,026</w:t>
            </w:r>
          </w:p>
        </w:tc>
      </w:tr>
      <w:tr w:rsidR="005F20FC">
        <w:trPr>
          <w:trHeight w:val="320"/>
        </w:trPr>
        <w:tc>
          <w:tcPr>
            <w:tcW w:w="1745"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Ventilation mécanique</w:t>
            </w:r>
          </w:p>
        </w:tc>
        <w:tc>
          <w:tcPr>
            <w:tcW w:w="1292"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18</w:t>
            </w:r>
          </w:p>
        </w:tc>
        <w:tc>
          <w:tcPr>
            <w:tcW w:w="1134" w:type="pct"/>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1</w:t>
            </w:r>
          </w:p>
        </w:tc>
        <w:tc>
          <w:tcPr>
            <w:tcW w:w="827" w:type="pct"/>
            <w:noWrap/>
            <w:vAlign w:val="bottom"/>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0,004</w:t>
            </w:r>
          </w:p>
        </w:tc>
      </w:tr>
      <w:tr w:rsidR="005F20FC">
        <w:trPr>
          <w:trHeight w:val="320"/>
        </w:trPr>
        <w:tc>
          <w:tcPr>
            <w:tcW w:w="1745" w:type="pct"/>
            <w:tcBorders>
              <w:bottom w:val="single" w:sz="4" w:space="0" w:color="auto"/>
            </w:tcBorders>
            <w:noWrap/>
            <w:vAlign w:val="bottom"/>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Durée médiane d'hospitalisation [IQR]</w:t>
            </w:r>
          </w:p>
        </w:tc>
        <w:tc>
          <w:tcPr>
            <w:tcW w:w="1292" w:type="pct"/>
            <w:tcBorders>
              <w:bottom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20 [12 - 32]</w:t>
            </w:r>
          </w:p>
        </w:tc>
        <w:tc>
          <w:tcPr>
            <w:tcW w:w="1134" w:type="pct"/>
            <w:tcBorders>
              <w:bottom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33 [26 - 46]</w:t>
            </w:r>
          </w:p>
        </w:tc>
        <w:tc>
          <w:tcPr>
            <w:tcW w:w="827" w:type="pct"/>
            <w:tcBorders>
              <w:bottom w:val="single" w:sz="4" w:space="0" w:color="auto"/>
            </w:tcBorders>
            <w:noWrap/>
            <w:vAlign w:val="center"/>
          </w:tcPr>
          <w:p w:rsidR="005F20FC" w:rsidRDefault="00191971">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0,015</w:t>
            </w:r>
          </w:p>
        </w:tc>
      </w:tr>
    </w:tbl>
    <w:p w:rsidR="005F20FC" w:rsidRDefault="00191971">
      <w:pPr>
        <w:spacing w:after="0" w:line="240" w:lineRule="auto"/>
        <w:jc w:val="both"/>
        <w:rPr>
          <w:rFonts w:ascii="Times New Roman" w:eastAsia="Calibri" w:hAnsi="Times New Roman" w:cs="Times New Roman"/>
          <w:bCs/>
          <w:i/>
          <w:iCs/>
          <w:sz w:val="20"/>
          <w:szCs w:val="20"/>
        </w:rPr>
      </w:pPr>
      <w:r>
        <w:rPr>
          <w:rFonts w:ascii="Times New Roman" w:hAnsi="Times New Roman" w:cs="Times New Roman"/>
          <w:bCs/>
          <w:i/>
          <w:iCs/>
          <w:sz w:val="20"/>
          <w:szCs w:val="20"/>
        </w:rPr>
        <w:t xml:space="preserve">*SpO2 : Saturation pulsée en oxygène, GCS :  </w:t>
      </w:r>
      <w:proofErr w:type="gramStart"/>
      <w:r>
        <w:rPr>
          <w:rFonts w:ascii="Times New Roman" w:hAnsi="Times New Roman" w:cs="Times New Roman"/>
          <w:bCs/>
          <w:i/>
          <w:iCs/>
          <w:sz w:val="20"/>
          <w:szCs w:val="20"/>
        </w:rPr>
        <w:t>Glasgow  coma</w:t>
      </w:r>
      <w:proofErr w:type="gramEnd"/>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scale</w:t>
      </w:r>
      <w:proofErr w:type="spellEnd"/>
    </w:p>
    <w:p w:rsidR="005F20FC" w:rsidRDefault="005F20FC">
      <w:pPr>
        <w:spacing w:after="0" w:line="240" w:lineRule="auto"/>
        <w:jc w:val="both"/>
        <w:rPr>
          <w:rFonts w:ascii="Times New Roman" w:eastAsia="Segoe UI" w:hAnsi="Times New Roman" w:cs="Times New Roman"/>
          <w:sz w:val="20"/>
          <w:szCs w:val="20"/>
          <w:shd w:val="clear" w:color="auto" w:fill="FFFFFF"/>
        </w:rPr>
      </w:pPr>
    </w:p>
    <w:p w:rsidR="005F20FC" w:rsidRDefault="005F20FC">
      <w:pPr>
        <w:spacing w:after="0" w:line="240" w:lineRule="auto"/>
        <w:jc w:val="both"/>
        <w:rPr>
          <w:rFonts w:ascii="Times New Roman" w:hAnsi="Times New Roman" w:cs="Times New Roman"/>
          <w:sz w:val="20"/>
          <w:szCs w:val="20"/>
        </w:rPr>
      </w:pPr>
    </w:p>
    <w:p w:rsidR="005F20FC" w:rsidRDefault="005F20FC">
      <w:pPr>
        <w:spacing w:after="0" w:line="240" w:lineRule="auto"/>
        <w:jc w:val="both"/>
        <w:rPr>
          <w:rFonts w:ascii="Times New Roman" w:eastAsia="Segoe UI" w:hAnsi="Times New Roman" w:cs="Times New Roman"/>
          <w:sz w:val="20"/>
          <w:szCs w:val="20"/>
          <w:shd w:val="clear" w:color="auto" w:fill="FFFFFF"/>
        </w:rPr>
      </w:pPr>
    </w:p>
    <w:p w:rsidR="005F20FC" w:rsidRDefault="005F20FC">
      <w:pPr>
        <w:spacing w:after="0" w:line="240" w:lineRule="auto"/>
        <w:jc w:val="both"/>
        <w:rPr>
          <w:rFonts w:ascii="Times New Roman" w:hAnsi="Times New Roman" w:cs="Times New Roman"/>
          <w:sz w:val="20"/>
          <w:szCs w:val="20"/>
        </w:rPr>
      </w:pPr>
    </w:p>
    <w:p w:rsidR="005F20FC" w:rsidRDefault="005F20FC">
      <w:pPr>
        <w:spacing w:after="0" w:line="240" w:lineRule="auto"/>
        <w:jc w:val="both"/>
        <w:rPr>
          <w:rFonts w:ascii="Times New Roman" w:hAnsi="Times New Roman" w:cs="Times New Roman"/>
          <w:sz w:val="20"/>
          <w:szCs w:val="20"/>
        </w:rPr>
      </w:pPr>
    </w:p>
    <w:p w:rsidR="005F20FC" w:rsidRDefault="005F20FC">
      <w:pPr>
        <w:spacing w:after="0" w:line="240" w:lineRule="auto"/>
        <w:jc w:val="both"/>
        <w:rPr>
          <w:rFonts w:ascii="Times New Roman" w:hAnsi="Times New Roman" w:cs="Times New Roman"/>
          <w:b/>
          <w:sz w:val="20"/>
          <w:szCs w:val="20"/>
        </w:rPr>
        <w:sectPr w:rsidR="005F20FC">
          <w:type w:val="continuous"/>
          <w:pgSz w:w="11906" w:h="16838"/>
          <w:pgMar w:top="1417" w:right="1417" w:bottom="1417" w:left="1417" w:header="708" w:footer="708" w:gutter="0"/>
          <w:cols w:num="2" w:space="708"/>
          <w:docGrid w:linePitch="360"/>
        </w:sectPr>
      </w:pPr>
    </w:p>
    <w:p w:rsidR="005F20FC" w:rsidRDefault="00511C4A">
      <w:pPr>
        <w:spacing w:after="0" w:line="240" w:lineRule="auto"/>
        <w:jc w:val="both"/>
        <w:rPr>
          <w:rFonts w:ascii="Times New Roman" w:hAnsi="Times New Roman" w:cs="Times New Roman"/>
          <w:b/>
          <w:color w:val="0070C0"/>
          <w:sz w:val="20"/>
          <w:szCs w:val="20"/>
        </w:rPr>
      </w:pPr>
      <w:r>
        <w:rPr>
          <w:rFonts w:ascii="Times New Roman" w:hAnsi="Times New Roman" w:cs="Times New Roman"/>
          <w:b/>
          <w:color w:val="0070C0"/>
          <w:sz w:val="20"/>
          <w:szCs w:val="20"/>
        </w:rPr>
        <w:lastRenderedPageBreak/>
        <w:pict>
          <v:shape id="_x0000_s1030" type="#_x0000_t32" style="position:absolute;left:0;text-align:left;margin-left:58.15pt;margin-top:9.15pt;width:398.4pt;height:0;z-index:251662336" o:connectortype="straight" strokecolor="blue" strokeweight="1.5pt"/>
        </w:pict>
      </w:r>
      <w:r w:rsidR="00191971">
        <w:rPr>
          <w:rFonts w:ascii="Times New Roman" w:hAnsi="Times New Roman" w:cs="Times New Roman"/>
          <w:b/>
          <w:color w:val="0070C0"/>
          <w:sz w:val="20"/>
          <w:szCs w:val="20"/>
        </w:rPr>
        <w:t xml:space="preserve">Discussion </w:t>
      </w:r>
    </w:p>
    <w:p w:rsidR="005F20FC" w:rsidRDefault="005F20FC">
      <w:pPr>
        <w:spacing w:after="0" w:line="240" w:lineRule="auto"/>
        <w:jc w:val="both"/>
        <w:rPr>
          <w:rFonts w:ascii="Times New Roman" w:hAnsi="Times New Roman" w:cs="Times New Roman"/>
          <w:sz w:val="20"/>
          <w:szCs w:val="20"/>
        </w:rPr>
        <w:sectPr w:rsidR="005F20FC">
          <w:type w:val="continuous"/>
          <w:pgSz w:w="11906" w:h="16838"/>
          <w:pgMar w:top="1417" w:right="1417" w:bottom="1417" w:left="1417" w:header="708" w:footer="708" w:gutter="0"/>
          <w:cols w:space="708"/>
          <w:docGrid w:linePitch="360"/>
        </w:sectPr>
      </w:pPr>
    </w:p>
    <w:p w:rsidR="005F20FC" w:rsidRDefault="00191971">
      <w:pPr>
        <w:pStyle w:val="NormalWeb"/>
        <w:shd w:val="clear" w:color="auto" w:fill="FFFFFF"/>
        <w:spacing w:before="0" w:beforeAutospacing="0" w:after="0" w:afterAutospacing="0"/>
        <w:jc w:val="both"/>
        <w:rPr>
          <w:rFonts w:eastAsia="Segoe UI"/>
          <w:sz w:val="20"/>
          <w:szCs w:val="20"/>
        </w:rPr>
      </w:pPr>
      <w:r>
        <w:rPr>
          <w:rFonts w:eastAsia="Segoe UI"/>
          <w:sz w:val="20"/>
          <w:szCs w:val="20"/>
          <w:shd w:val="clear" w:color="auto" w:fill="FFFFFF"/>
        </w:rPr>
        <w:lastRenderedPageBreak/>
        <w:t xml:space="preserve">Cette étude a observé une incidence de choc septique de 4,7% chez les patients </w:t>
      </w:r>
      <w:proofErr w:type="spellStart"/>
      <w:r>
        <w:rPr>
          <w:rFonts w:eastAsia="Segoe UI"/>
          <w:sz w:val="20"/>
          <w:szCs w:val="20"/>
          <w:shd w:val="clear" w:color="auto" w:fill="FFFFFF"/>
        </w:rPr>
        <w:t>cérébrolésés</w:t>
      </w:r>
      <w:proofErr w:type="spellEnd"/>
      <w:r>
        <w:rPr>
          <w:rFonts w:eastAsia="Segoe UI"/>
          <w:sz w:val="20"/>
          <w:szCs w:val="20"/>
          <w:shd w:val="clear" w:color="auto" w:fill="FFFFFF"/>
        </w:rPr>
        <w:t xml:space="preserve"> hospitalisés. Cette proportion est comparable aux données de la littérature, variant de 3,3% dans une cohorte canadienne de traumatisés crâniens en réanimation à 5,95% dans une étude brésilienne similaire (3, 4). La légère divergence avec l’étude canadienne peut s’expliquer par des différences dans les plateaux techniques entre pays développés et en développement.</w:t>
      </w:r>
    </w:p>
    <w:p w:rsidR="005F20FC" w:rsidRDefault="00191971">
      <w:pPr>
        <w:pStyle w:val="NormalWeb"/>
        <w:shd w:val="clear" w:color="auto" w:fill="FFFFFF"/>
        <w:spacing w:before="0" w:beforeAutospacing="0" w:after="0" w:afterAutospacing="0"/>
        <w:jc w:val="both"/>
        <w:rPr>
          <w:rFonts w:eastAsia="Segoe UI"/>
          <w:sz w:val="20"/>
          <w:szCs w:val="20"/>
        </w:rPr>
      </w:pPr>
      <w:r>
        <w:rPr>
          <w:rFonts w:eastAsia="Segoe UI"/>
          <w:sz w:val="20"/>
          <w:szCs w:val="20"/>
          <w:shd w:val="clear" w:color="auto" w:fill="FFFFFF"/>
        </w:rPr>
        <w:t xml:space="preserve">Le profil des patients de notre série (âge médian de 52 ans, prédominance de la tranche 60-70 ans) est cohérent avec les données existantes pour les </w:t>
      </w:r>
      <w:proofErr w:type="spellStart"/>
      <w:r>
        <w:rPr>
          <w:rFonts w:eastAsia="Segoe UI"/>
          <w:sz w:val="20"/>
          <w:szCs w:val="20"/>
          <w:shd w:val="clear" w:color="auto" w:fill="FFFFFF"/>
        </w:rPr>
        <w:t>cérébrolésés</w:t>
      </w:r>
      <w:proofErr w:type="spellEnd"/>
      <w:r>
        <w:rPr>
          <w:rFonts w:eastAsia="Segoe UI"/>
          <w:sz w:val="20"/>
          <w:szCs w:val="20"/>
          <w:shd w:val="clear" w:color="auto" w:fill="FFFFFF"/>
        </w:rPr>
        <w:t xml:space="preserve"> septiques (5). Les écarts observés avec d’autres études, comme un âge moyen plus jeune dans une cohorte exclusive de traumatisés crâniens ou plus âgé chez des patients victimes d’AVC, </w:t>
      </w:r>
      <w:r>
        <w:rPr>
          <w:rFonts w:eastAsia="Segoe UI"/>
          <w:sz w:val="20"/>
          <w:szCs w:val="20"/>
          <w:shd w:val="clear" w:color="auto" w:fill="FFFFFF"/>
        </w:rPr>
        <w:lastRenderedPageBreak/>
        <w:t>soulignent l’influence de l’étiologie de la lésion cérébrale sur la démographie (4, 8).</w:t>
      </w:r>
    </w:p>
    <w:p w:rsidR="005F20FC" w:rsidRDefault="00191971">
      <w:pPr>
        <w:pStyle w:val="NormalWeb"/>
        <w:shd w:val="clear" w:color="auto" w:fill="FFFFFF"/>
        <w:spacing w:before="0" w:beforeAutospacing="0" w:after="0" w:afterAutospacing="0"/>
        <w:jc w:val="both"/>
        <w:rPr>
          <w:rFonts w:eastAsia="Segoe UI"/>
          <w:sz w:val="20"/>
          <w:szCs w:val="20"/>
        </w:rPr>
      </w:pPr>
      <w:r>
        <w:rPr>
          <w:rFonts w:eastAsia="Segoe UI"/>
          <w:sz w:val="20"/>
          <w:szCs w:val="20"/>
          <w:shd w:val="clear" w:color="auto" w:fill="FFFFFF"/>
        </w:rPr>
        <w:t xml:space="preserve">Les antécédents les plus fréquents étaient l’alcoolisme (43,6%) et l’hypertension artérielle (HTA, 38,2%). La prédominance de l’HTA, facteur de risque commun aux AVC et aux traumatismes crâniens sévères, est régulièrement rapportée (8, 9). La forte prévalence de l’alcoolisme dans cette étude reflète probablement un facteur de risque plus </w:t>
      </w:r>
      <w:proofErr w:type="gramStart"/>
      <w:r>
        <w:rPr>
          <w:rFonts w:eastAsia="Segoe UI"/>
          <w:sz w:val="20"/>
          <w:szCs w:val="20"/>
          <w:shd w:val="clear" w:color="auto" w:fill="FFFFFF"/>
        </w:rPr>
        <w:t>marqué</w:t>
      </w:r>
      <w:proofErr w:type="gramEnd"/>
      <w:r>
        <w:rPr>
          <w:rFonts w:eastAsia="Segoe UI"/>
          <w:sz w:val="20"/>
          <w:szCs w:val="20"/>
          <w:shd w:val="clear" w:color="auto" w:fill="FFFFFF"/>
        </w:rPr>
        <w:t xml:space="preserve"> dans les contextes socio-économiques difficiles (10, 11). Ce qui n’était pas le cas au cours des études des pays développés qui le citent moins.</w:t>
      </w:r>
    </w:p>
    <w:p w:rsidR="005F20FC" w:rsidRDefault="00191971">
      <w:pPr>
        <w:pStyle w:val="NormalWeb"/>
        <w:shd w:val="clear" w:color="auto" w:fill="FFFFFF"/>
        <w:spacing w:before="0" w:beforeAutospacing="0" w:after="0" w:afterAutospacing="0"/>
        <w:jc w:val="both"/>
        <w:rPr>
          <w:rFonts w:eastAsia="Segoe UI"/>
          <w:sz w:val="20"/>
          <w:szCs w:val="20"/>
        </w:rPr>
      </w:pPr>
      <w:r>
        <w:rPr>
          <w:rFonts w:eastAsia="Segoe UI"/>
          <w:sz w:val="20"/>
          <w:szCs w:val="20"/>
          <w:shd w:val="clear" w:color="auto" w:fill="FFFFFF"/>
        </w:rPr>
        <w:t xml:space="preserve">La majorité des patients étaient admis en postopératoire, principalement après craniectomie </w:t>
      </w:r>
      <w:proofErr w:type="spellStart"/>
      <w:r>
        <w:rPr>
          <w:rFonts w:eastAsia="Segoe UI"/>
          <w:sz w:val="20"/>
          <w:szCs w:val="20"/>
          <w:shd w:val="clear" w:color="auto" w:fill="FFFFFF"/>
        </w:rPr>
        <w:t>décompressive</w:t>
      </w:r>
      <w:proofErr w:type="spellEnd"/>
      <w:r>
        <w:rPr>
          <w:rFonts w:eastAsia="Segoe UI"/>
          <w:sz w:val="20"/>
          <w:szCs w:val="20"/>
          <w:shd w:val="clear" w:color="auto" w:fill="FFFFFF"/>
        </w:rPr>
        <w:t xml:space="preserve">, évacuation d’hématome intra-parenchymateux ou sous-dural, ce qui correspond aux lésions neurochirurgicales les plus fréquentes. Cette prédominance était attendue dans un service </w:t>
      </w:r>
      <w:r>
        <w:rPr>
          <w:rFonts w:eastAsia="Segoe UI"/>
          <w:sz w:val="20"/>
          <w:szCs w:val="20"/>
          <w:shd w:val="clear" w:color="auto" w:fill="FFFFFF"/>
        </w:rPr>
        <w:lastRenderedPageBreak/>
        <w:t>de réanimation chirurgicale. Les données de la présente étude sur les lésions initiales sont alignées avec la littérature, qui rapporte une forte prévalence des contusions parenchymateuses et des hématomes sous-duraux chez les traumatisés crâniens septiques (4).</w:t>
      </w:r>
    </w:p>
    <w:p w:rsidR="005F20FC" w:rsidRDefault="00191971">
      <w:pPr>
        <w:pStyle w:val="NormalWeb"/>
        <w:shd w:val="clear" w:color="auto" w:fill="FFFFFF"/>
        <w:spacing w:before="0" w:beforeAutospacing="0" w:after="0" w:afterAutospacing="0"/>
        <w:jc w:val="both"/>
        <w:rPr>
          <w:rFonts w:eastAsia="Segoe UI"/>
          <w:sz w:val="20"/>
          <w:szCs w:val="20"/>
        </w:rPr>
      </w:pPr>
      <w:r>
        <w:rPr>
          <w:rFonts w:eastAsia="Segoe UI"/>
          <w:sz w:val="20"/>
          <w:szCs w:val="20"/>
          <w:shd w:val="clear" w:color="auto" w:fill="FFFFFF"/>
        </w:rPr>
        <w:t>Le délai médian d’apparition du choc septique était de 12 jours, avec 40% des cas survenant entre J7 et J14. Ce délai est plus long que celui rapporté dans une étude sur le sepsis post-AVC (2 jours) (8). Cette différence pourrait être liée à un diagnostic plus précoce du sepsis dans cette dernière, évoluant ensuite vers le choc, ou à des facteurs contextuels comme une consultation tardive dans le présent milieu.</w:t>
      </w:r>
    </w:p>
    <w:p w:rsidR="005F20FC" w:rsidRDefault="00191971">
      <w:pPr>
        <w:pStyle w:val="NormalWeb"/>
        <w:shd w:val="clear" w:color="auto" w:fill="FFFFFF"/>
        <w:spacing w:before="0" w:beforeAutospacing="0" w:after="0" w:afterAutospacing="0"/>
        <w:jc w:val="both"/>
        <w:rPr>
          <w:rFonts w:eastAsia="Segoe UI"/>
          <w:sz w:val="20"/>
          <w:szCs w:val="20"/>
          <w:shd w:val="clear" w:color="auto" w:fill="FFFFFF"/>
        </w:rPr>
      </w:pPr>
      <w:r>
        <w:rPr>
          <w:rFonts w:eastAsia="Segoe UI"/>
          <w:sz w:val="20"/>
          <w:szCs w:val="20"/>
          <w:shd w:val="clear" w:color="auto" w:fill="FFFFFF"/>
        </w:rPr>
        <w:t xml:space="preserve">Sur le plan clinique, l’installation du choc était marquée par des modifications hémodynamiques (chute tensionnelle, tachycardie) et thermiques (hyperthermie), caractéristiques (1, 2, 12, 13). </w:t>
      </w:r>
      <w:r>
        <w:rPr>
          <w:rFonts w:eastAsia="Segoe UI"/>
          <w:i/>
          <w:iCs/>
          <w:sz w:val="20"/>
          <w:szCs w:val="20"/>
          <w:shd w:val="clear" w:color="auto" w:fill="FFFFFF"/>
        </w:rPr>
        <w:t>A contrario</w:t>
      </w:r>
      <w:r>
        <w:rPr>
          <w:rFonts w:eastAsia="Segoe UI"/>
          <w:sz w:val="20"/>
          <w:szCs w:val="20"/>
          <w:shd w:val="clear" w:color="auto" w:fill="FFFFFF"/>
        </w:rPr>
        <w:t xml:space="preserve"> l’état neurologique de base restait stable. La prédominance des signes respiratoires (augmentation des </w:t>
      </w:r>
      <w:proofErr w:type="spellStart"/>
      <w:r>
        <w:rPr>
          <w:rFonts w:eastAsia="Segoe UI"/>
          <w:sz w:val="20"/>
          <w:szCs w:val="20"/>
          <w:shd w:val="clear" w:color="auto" w:fill="FFFFFF"/>
        </w:rPr>
        <w:t>ronchi</w:t>
      </w:r>
      <w:proofErr w:type="spellEnd"/>
      <w:r>
        <w:rPr>
          <w:rFonts w:eastAsia="Segoe UI"/>
          <w:sz w:val="20"/>
          <w:szCs w:val="20"/>
          <w:shd w:val="clear" w:color="auto" w:fill="FFFFFF"/>
        </w:rPr>
        <w:t xml:space="preserve">) et l’oligurie observées sont conformes aux tableaux classiques. La localisation pulmonaire préférentielle de l’infection chez le patient </w:t>
      </w:r>
      <w:proofErr w:type="spellStart"/>
      <w:r>
        <w:rPr>
          <w:rFonts w:eastAsia="Segoe UI"/>
          <w:sz w:val="20"/>
          <w:szCs w:val="20"/>
          <w:shd w:val="clear" w:color="auto" w:fill="FFFFFF"/>
        </w:rPr>
        <w:t>cérébrolésé</w:t>
      </w:r>
      <w:proofErr w:type="spellEnd"/>
      <w:r>
        <w:rPr>
          <w:rFonts w:eastAsia="Segoe UI"/>
          <w:sz w:val="20"/>
          <w:szCs w:val="20"/>
          <w:shd w:val="clear" w:color="auto" w:fill="FFFFFF"/>
        </w:rPr>
        <w:t>, souvent alité et avec une commande ventilatoire potentiellement altérée, est bien documentée (3, 5, 9, 14). Cette prédominance pulmonaire est corroborée par les examens bactériologiques : l’ECBC était positif dans 69,1% des cas. Les hémocultures, réalisées systématiquement, étaient positives dans 21,8% des cas (15). La distribution des germes (</w:t>
      </w:r>
      <w:r>
        <w:rPr>
          <w:rStyle w:val="Accentuation"/>
          <w:rFonts w:eastAsia="Segoe UI"/>
          <w:sz w:val="20"/>
          <w:szCs w:val="20"/>
          <w:shd w:val="clear" w:color="auto" w:fill="FFFFFF"/>
        </w:rPr>
        <w:t xml:space="preserve">Pseudomonas </w:t>
      </w:r>
      <w:proofErr w:type="spellStart"/>
      <w:r>
        <w:rPr>
          <w:rStyle w:val="Accentuation"/>
          <w:rFonts w:eastAsia="Segoe UI"/>
          <w:sz w:val="20"/>
          <w:szCs w:val="20"/>
          <w:shd w:val="clear" w:color="auto" w:fill="FFFFFF"/>
        </w:rPr>
        <w:t>aeruginosa</w:t>
      </w:r>
      <w:proofErr w:type="spellEnd"/>
      <w:r>
        <w:rPr>
          <w:rFonts w:eastAsia="Segoe UI"/>
          <w:sz w:val="20"/>
          <w:szCs w:val="20"/>
          <w:shd w:val="clear" w:color="auto" w:fill="FFFFFF"/>
        </w:rPr>
        <w:t> en premier à l’ECBC, </w:t>
      </w:r>
      <w:proofErr w:type="spellStart"/>
      <w:r>
        <w:rPr>
          <w:rStyle w:val="Accentuation"/>
          <w:rFonts w:eastAsia="Segoe UI"/>
          <w:sz w:val="20"/>
          <w:szCs w:val="20"/>
          <w:shd w:val="clear" w:color="auto" w:fill="FFFFFF"/>
        </w:rPr>
        <w:t>Enterobacter</w:t>
      </w:r>
      <w:proofErr w:type="spellEnd"/>
      <w:r>
        <w:rPr>
          <w:rFonts w:eastAsia="Segoe UI"/>
          <w:i/>
          <w:iCs/>
          <w:sz w:val="20"/>
          <w:szCs w:val="20"/>
          <w:shd w:val="clear" w:color="auto" w:fill="FFFFFF"/>
        </w:rPr>
        <w:t> </w:t>
      </w:r>
      <w:proofErr w:type="spellStart"/>
      <w:r>
        <w:rPr>
          <w:rFonts w:eastAsia="Segoe UI"/>
          <w:i/>
          <w:iCs/>
          <w:sz w:val="20"/>
          <w:szCs w:val="20"/>
          <w:shd w:val="clear" w:color="auto" w:fill="FFFFFF"/>
        </w:rPr>
        <w:t>sp</w:t>
      </w:r>
      <w:proofErr w:type="spellEnd"/>
      <w:r>
        <w:rPr>
          <w:rFonts w:eastAsia="Segoe UI"/>
          <w:sz w:val="20"/>
          <w:szCs w:val="20"/>
          <w:shd w:val="clear" w:color="auto" w:fill="FFFFFF"/>
        </w:rPr>
        <w:t xml:space="preserve">. </w:t>
      </w:r>
      <w:proofErr w:type="gramStart"/>
      <w:r>
        <w:rPr>
          <w:rFonts w:eastAsia="Segoe UI"/>
          <w:sz w:val="20"/>
          <w:szCs w:val="20"/>
          <w:shd w:val="clear" w:color="auto" w:fill="FFFFFF"/>
        </w:rPr>
        <w:t>et</w:t>
      </w:r>
      <w:proofErr w:type="gramEnd"/>
      <w:r>
        <w:rPr>
          <w:rFonts w:eastAsia="Segoe UI"/>
          <w:sz w:val="20"/>
          <w:szCs w:val="20"/>
          <w:shd w:val="clear" w:color="auto" w:fill="FFFFFF"/>
        </w:rPr>
        <w:t> </w:t>
      </w:r>
      <w:proofErr w:type="spellStart"/>
      <w:r>
        <w:rPr>
          <w:rStyle w:val="Accentuation"/>
          <w:rFonts w:eastAsia="Segoe UI"/>
          <w:sz w:val="20"/>
          <w:szCs w:val="20"/>
          <w:shd w:val="clear" w:color="auto" w:fill="FFFFFF"/>
        </w:rPr>
        <w:t>Acinetobacter</w:t>
      </w:r>
      <w:proofErr w:type="spellEnd"/>
      <w:r>
        <w:rPr>
          <w:rFonts w:eastAsia="Segoe UI"/>
          <w:i/>
          <w:iCs/>
          <w:sz w:val="20"/>
          <w:szCs w:val="20"/>
          <w:shd w:val="clear" w:color="auto" w:fill="FFFFFF"/>
        </w:rPr>
        <w:t> </w:t>
      </w:r>
      <w:proofErr w:type="spellStart"/>
      <w:r>
        <w:rPr>
          <w:rFonts w:eastAsia="Segoe UI"/>
          <w:i/>
          <w:iCs/>
          <w:sz w:val="20"/>
          <w:szCs w:val="20"/>
          <w:shd w:val="clear" w:color="auto" w:fill="FFFFFF"/>
        </w:rPr>
        <w:t>sp</w:t>
      </w:r>
      <w:proofErr w:type="spellEnd"/>
      <w:r>
        <w:rPr>
          <w:rFonts w:eastAsia="Segoe UI"/>
          <w:sz w:val="20"/>
          <w:szCs w:val="20"/>
          <w:shd w:val="clear" w:color="auto" w:fill="FFFFFF"/>
        </w:rPr>
        <w:t xml:space="preserve">. </w:t>
      </w:r>
      <w:proofErr w:type="gramStart"/>
      <w:r>
        <w:rPr>
          <w:rFonts w:eastAsia="Segoe UI"/>
          <w:sz w:val="20"/>
          <w:szCs w:val="20"/>
          <w:shd w:val="clear" w:color="auto" w:fill="FFFFFF"/>
        </w:rPr>
        <w:t>en</w:t>
      </w:r>
      <w:proofErr w:type="gramEnd"/>
      <w:r>
        <w:rPr>
          <w:rFonts w:eastAsia="Segoe UI"/>
          <w:sz w:val="20"/>
          <w:szCs w:val="20"/>
          <w:shd w:val="clear" w:color="auto" w:fill="FFFFFF"/>
        </w:rPr>
        <w:t xml:space="preserve"> hémoculture) reflète une écologie microbienne courante en réanimation, avec des variations géographiques et hospitalières (3, 4). L’hyperleucocytose et l’élévation de la CRP au moment du choc étaient attendues (13, 15). </w:t>
      </w:r>
    </w:p>
    <w:p w:rsidR="005F20FC" w:rsidRDefault="00191971">
      <w:pPr>
        <w:pStyle w:val="NormalWeb"/>
        <w:shd w:val="clear" w:color="auto" w:fill="FFFFFF"/>
        <w:spacing w:before="0" w:beforeAutospacing="0" w:after="0" w:afterAutospacing="0"/>
        <w:jc w:val="both"/>
        <w:rPr>
          <w:rFonts w:eastAsia="Segoe UI"/>
          <w:sz w:val="20"/>
          <w:szCs w:val="20"/>
        </w:rPr>
      </w:pPr>
      <w:r>
        <w:rPr>
          <w:rFonts w:eastAsia="Segoe UI"/>
          <w:sz w:val="20"/>
          <w:szCs w:val="20"/>
          <w:shd w:val="clear" w:color="auto" w:fill="FFFFFF"/>
        </w:rPr>
        <w:t xml:space="preserve">La prise en charge a reposé sur l’intubation (85,4%), la ventilation mécanique (34,5%), un remplissage vasculaire systématique et une antibiothérapie principalement à base d’aminosides et de quinolones. Le lien entre pneumonie, </w:t>
      </w:r>
      <w:r>
        <w:rPr>
          <w:rFonts w:eastAsia="Segoe UI"/>
          <w:sz w:val="20"/>
          <w:szCs w:val="20"/>
          <w:shd w:val="clear" w:color="auto" w:fill="FFFFFF"/>
        </w:rPr>
        <w:lastRenderedPageBreak/>
        <w:t xml:space="preserve">ventilation mécanique et sepsis est établi (5). Le taux de mortalité global était élevé (71%), similaire à d’autres études en contextes comparables, confirmant le pronostic sombre du choc septique chez le </w:t>
      </w:r>
      <w:proofErr w:type="spellStart"/>
      <w:r>
        <w:rPr>
          <w:rFonts w:eastAsia="Segoe UI"/>
          <w:sz w:val="20"/>
          <w:szCs w:val="20"/>
          <w:shd w:val="clear" w:color="auto" w:fill="FFFFFF"/>
        </w:rPr>
        <w:t>cérébrolésé</w:t>
      </w:r>
      <w:proofErr w:type="spellEnd"/>
      <w:r>
        <w:rPr>
          <w:rFonts w:eastAsia="Segoe UI"/>
          <w:sz w:val="20"/>
          <w:szCs w:val="20"/>
          <w:shd w:val="clear" w:color="auto" w:fill="FFFFFF"/>
        </w:rPr>
        <w:t xml:space="preserve"> (9, 16).</w:t>
      </w:r>
    </w:p>
    <w:p w:rsidR="005F20FC" w:rsidRDefault="00191971">
      <w:pPr>
        <w:pStyle w:val="NormalWeb"/>
        <w:shd w:val="clear" w:color="auto" w:fill="FFFFFF"/>
        <w:spacing w:before="0" w:beforeAutospacing="0" w:after="0" w:afterAutospacing="0"/>
        <w:jc w:val="both"/>
        <w:rPr>
          <w:rFonts w:eastAsia="Segoe UI"/>
          <w:sz w:val="20"/>
          <w:szCs w:val="20"/>
        </w:rPr>
      </w:pPr>
      <w:r>
        <w:rPr>
          <w:rStyle w:val="lev"/>
          <w:rFonts w:eastAsia="Segoe UI"/>
          <w:sz w:val="20"/>
          <w:szCs w:val="20"/>
          <w:shd w:val="clear" w:color="auto" w:fill="FFFFFF"/>
        </w:rPr>
        <w:t>Analyse des facteurs associés à la mortalité</w:t>
      </w:r>
    </w:p>
    <w:p w:rsidR="005F20FC" w:rsidRDefault="00191971">
      <w:pPr>
        <w:pStyle w:val="NormalWeb"/>
        <w:shd w:val="clear" w:color="auto" w:fill="FFFFFF"/>
        <w:spacing w:before="0" w:beforeAutospacing="0" w:after="0" w:afterAutospacing="0"/>
        <w:jc w:val="both"/>
        <w:rPr>
          <w:rFonts w:eastAsia="Segoe UI"/>
          <w:sz w:val="20"/>
          <w:szCs w:val="20"/>
        </w:rPr>
      </w:pPr>
      <w:r>
        <w:rPr>
          <w:rFonts w:eastAsia="Segoe UI"/>
          <w:sz w:val="20"/>
          <w:szCs w:val="20"/>
          <w:shd w:val="clear" w:color="auto" w:fill="FFFFFF"/>
        </w:rPr>
        <w:t>L’analyse a identifié plusieurs facteurs significativement associés à la mortalité.</w:t>
      </w:r>
    </w:p>
    <w:p w:rsidR="005F20FC" w:rsidRDefault="00191971">
      <w:pPr>
        <w:pStyle w:val="NormalWeb"/>
        <w:spacing w:before="0" w:beforeAutospacing="0" w:after="0" w:afterAutospacing="0"/>
        <w:jc w:val="both"/>
        <w:rPr>
          <w:sz w:val="20"/>
          <w:szCs w:val="20"/>
        </w:rPr>
      </w:pPr>
      <w:r>
        <w:rPr>
          <w:rStyle w:val="lev"/>
          <w:rFonts w:eastAsia="Segoe UI"/>
          <w:sz w:val="20"/>
          <w:szCs w:val="20"/>
          <w:shd w:val="clear" w:color="auto" w:fill="FFFFFF"/>
        </w:rPr>
        <w:t>- Âge avancé (p=0,036) :</w:t>
      </w:r>
      <w:r>
        <w:rPr>
          <w:rFonts w:eastAsia="Segoe UI"/>
          <w:sz w:val="20"/>
          <w:szCs w:val="20"/>
          <w:shd w:val="clear" w:color="auto" w:fill="FFFFFF"/>
        </w:rPr>
        <w:t xml:space="preserve"> Ce résultat est conforme aux données de la littérature identifiant l’âge comme facteur de risque de mortalité chez les </w:t>
      </w:r>
      <w:proofErr w:type="spellStart"/>
      <w:r>
        <w:rPr>
          <w:rFonts w:eastAsia="Segoe UI"/>
          <w:sz w:val="20"/>
          <w:szCs w:val="20"/>
          <w:shd w:val="clear" w:color="auto" w:fill="FFFFFF"/>
        </w:rPr>
        <w:t>cérébrolésés</w:t>
      </w:r>
      <w:proofErr w:type="spellEnd"/>
      <w:r>
        <w:rPr>
          <w:rFonts w:eastAsia="Segoe UI"/>
          <w:sz w:val="20"/>
          <w:szCs w:val="20"/>
          <w:shd w:val="clear" w:color="auto" w:fill="FFFFFF"/>
        </w:rPr>
        <w:t xml:space="preserve"> septiques, probablement en lien avec une plus grande fragilité et un fardeau de comorbidités plus lourd (3, 5).</w:t>
      </w:r>
    </w:p>
    <w:p w:rsidR="005F20FC" w:rsidRDefault="00191971">
      <w:pPr>
        <w:pStyle w:val="NormalWeb"/>
        <w:spacing w:before="0" w:beforeAutospacing="0" w:after="0" w:afterAutospacing="0"/>
        <w:jc w:val="both"/>
        <w:rPr>
          <w:sz w:val="20"/>
          <w:szCs w:val="20"/>
        </w:rPr>
      </w:pPr>
      <w:r>
        <w:rPr>
          <w:rStyle w:val="lev"/>
          <w:rFonts w:eastAsia="Segoe UI"/>
          <w:sz w:val="20"/>
          <w:szCs w:val="20"/>
          <w:shd w:val="clear" w:color="auto" w:fill="FFFFFF"/>
        </w:rPr>
        <w:t xml:space="preserve">- Désaturation </w:t>
      </w:r>
      <w:proofErr w:type="spellStart"/>
      <w:r>
        <w:rPr>
          <w:rStyle w:val="lev"/>
          <w:rFonts w:eastAsia="Segoe UI"/>
          <w:sz w:val="20"/>
          <w:szCs w:val="20"/>
          <w:shd w:val="clear" w:color="auto" w:fill="FFFFFF"/>
        </w:rPr>
        <w:t>pré-choc</w:t>
      </w:r>
      <w:proofErr w:type="spellEnd"/>
      <w:r>
        <w:rPr>
          <w:rStyle w:val="lev"/>
          <w:rFonts w:eastAsia="Segoe UI"/>
          <w:sz w:val="20"/>
          <w:szCs w:val="20"/>
          <w:shd w:val="clear" w:color="auto" w:fill="FFFFFF"/>
        </w:rPr>
        <w:t xml:space="preserve"> (p=0,013) :</w:t>
      </w:r>
      <w:r>
        <w:rPr>
          <w:rFonts w:eastAsia="Segoe UI"/>
          <w:sz w:val="20"/>
          <w:szCs w:val="20"/>
          <w:shd w:val="clear" w:color="auto" w:fill="FFFFFF"/>
        </w:rPr>
        <w:t> Une SpO</w:t>
      </w:r>
      <w:r>
        <w:rPr>
          <w:rFonts w:eastAsia="Segoe UI"/>
          <w:sz w:val="20"/>
          <w:szCs w:val="20"/>
          <w:shd w:val="clear" w:color="auto" w:fill="FFFFFF"/>
          <w:vertAlign w:val="subscript"/>
        </w:rPr>
        <w:t>2</w:t>
      </w:r>
      <w:r>
        <w:rPr>
          <w:rFonts w:eastAsia="Segoe UI"/>
          <w:sz w:val="20"/>
          <w:szCs w:val="20"/>
          <w:shd w:val="clear" w:color="auto" w:fill="FFFFFF"/>
        </w:rPr>
        <w:t xml:space="preserve"> basse avant le choc reflète probablement une agression cérébrale secondaire d’origine systémique préexistante, assombrissant le pronostic (13). Ceci corrobore les études associant un score de gravité (APACHE II) élevé ou une détresse respiratoire précoce à une mortalité accrue (3, 4).</w:t>
      </w:r>
    </w:p>
    <w:p w:rsidR="005F20FC" w:rsidRDefault="00191971">
      <w:pPr>
        <w:pStyle w:val="NormalWeb"/>
        <w:spacing w:before="0" w:beforeAutospacing="0" w:after="0" w:afterAutospacing="0"/>
        <w:jc w:val="both"/>
        <w:rPr>
          <w:sz w:val="20"/>
          <w:szCs w:val="20"/>
        </w:rPr>
      </w:pPr>
      <w:r>
        <w:rPr>
          <w:rStyle w:val="lev"/>
          <w:rFonts w:eastAsia="Segoe UI"/>
          <w:sz w:val="20"/>
          <w:szCs w:val="20"/>
          <w:shd w:val="clear" w:color="auto" w:fill="FFFFFF"/>
        </w:rPr>
        <w:t>- Score de Glasgow bas (p=0,025) et anomalie pupillaire (p=0,026) pendant le choc :</w:t>
      </w:r>
      <w:r>
        <w:rPr>
          <w:rFonts w:eastAsia="Segoe UI"/>
          <w:sz w:val="20"/>
          <w:szCs w:val="20"/>
          <w:shd w:val="clear" w:color="auto" w:fill="FFFFFF"/>
        </w:rPr>
        <w:t> Ces éléments sont des marqueurs directs de la gravité de l’atteinte cérébrale primitive, elle-même identifiée comme un facteur de mauvais pronostic chez les patients septiques (3, 4).</w:t>
      </w:r>
    </w:p>
    <w:p w:rsidR="005F20FC" w:rsidRDefault="00191971">
      <w:pPr>
        <w:pStyle w:val="NormalWeb"/>
        <w:spacing w:before="0" w:beforeAutospacing="0" w:after="0" w:afterAutospacing="0"/>
        <w:jc w:val="both"/>
        <w:rPr>
          <w:rFonts w:eastAsia="Segoe UI"/>
          <w:sz w:val="20"/>
          <w:szCs w:val="20"/>
          <w:shd w:val="clear" w:color="auto" w:fill="FFFFFF"/>
        </w:rPr>
      </w:pPr>
      <w:r>
        <w:rPr>
          <w:rStyle w:val="lev"/>
          <w:rFonts w:eastAsia="Segoe UI"/>
          <w:sz w:val="20"/>
          <w:szCs w:val="20"/>
          <w:shd w:val="clear" w:color="auto" w:fill="FFFFFF"/>
        </w:rPr>
        <w:t>- Recours à la ventilation mécanique (p=0,004) :</w:t>
      </w:r>
      <w:r>
        <w:rPr>
          <w:rFonts w:eastAsia="Segoe UI"/>
          <w:sz w:val="20"/>
          <w:szCs w:val="20"/>
          <w:shd w:val="clear" w:color="auto" w:fill="FFFFFF"/>
        </w:rPr>
        <w:t> Cette association est plus un marqueur de gravité qu’une cause directe de mortalité. La ventilation mécanique est souvent indispensable chez les patients les plus graves, présentant à la fois une atteinte cérébrale sévère (avec risque d’hypertension intracrânienne) et une défaillance respiratoire, deux conditions de pronostic péjoratif (3, 4, 13).</w:t>
      </w:r>
    </w:p>
    <w:p w:rsidR="005F20FC" w:rsidRDefault="00191971">
      <w:pPr>
        <w:spacing w:after="0" w:line="240" w:lineRule="auto"/>
        <w:jc w:val="both"/>
        <w:rPr>
          <w:rFonts w:ascii="Times New Roman" w:hAnsi="Times New Roman" w:cs="Times New Roman"/>
          <w:sz w:val="20"/>
          <w:szCs w:val="20"/>
        </w:rPr>
      </w:pPr>
      <w:r>
        <w:rPr>
          <w:rStyle w:val="Accentuation"/>
          <w:rFonts w:ascii="Times New Roman" w:eastAsia="Segoe UI" w:hAnsi="Times New Roman" w:cs="Times New Roman"/>
          <w:b/>
          <w:bCs/>
          <w:i w:val="0"/>
          <w:iCs w:val="0"/>
          <w:sz w:val="20"/>
          <w:szCs w:val="20"/>
          <w:shd w:val="clear" w:color="auto" w:fill="FFFFFF"/>
        </w:rPr>
        <w:t xml:space="preserve">Limites de l’étude : </w:t>
      </w:r>
      <w:r>
        <w:rPr>
          <w:rFonts w:ascii="Times New Roman" w:eastAsia="Segoe UI" w:hAnsi="Times New Roman" w:cs="Times New Roman"/>
          <w:sz w:val="20"/>
          <w:szCs w:val="20"/>
          <w:shd w:val="clear" w:color="auto" w:fill="FFFFFF"/>
        </w:rPr>
        <w:t xml:space="preserve">Le caractère rétrospectif et </w:t>
      </w:r>
      <w:proofErr w:type="spellStart"/>
      <w:r>
        <w:rPr>
          <w:rFonts w:ascii="Times New Roman" w:eastAsia="Segoe UI" w:hAnsi="Times New Roman" w:cs="Times New Roman"/>
          <w:sz w:val="20"/>
          <w:szCs w:val="20"/>
          <w:shd w:val="clear" w:color="auto" w:fill="FFFFFF"/>
        </w:rPr>
        <w:t>monocentrique</w:t>
      </w:r>
      <w:proofErr w:type="spellEnd"/>
      <w:r>
        <w:rPr>
          <w:rFonts w:ascii="Times New Roman" w:eastAsia="Segoe UI" w:hAnsi="Times New Roman" w:cs="Times New Roman"/>
          <w:sz w:val="20"/>
          <w:szCs w:val="20"/>
          <w:shd w:val="clear" w:color="auto" w:fill="FFFFFF"/>
        </w:rPr>
        <w:t xml:space="preserve"> de l’étude qui rend difficile la collecte des données et ne </w:t>
      </w:r>
      <w:r>
        <w:rPr>
          <w:rFonts w:ascii="Times New Roman" w:hAnsi="Times New Roman" w:cs="Times New Roman"/>
          <w:sz w:val="20"/>
          <w:szCs w:val="20"/>
        </w:rPr>
        <w:t xml:space="preserve">reflètent pas la réalité chez tous les patients </w:t>
      </w:r>
      <w:proofErr w:type="spellStart"/>
      <w:r>
        <w:rPr>
          <w:rFonts w:ascii="Times New Roman" w:hAnsi="Times New Roman" w:cs="Times New Roman"/>
          <w:sz w:val="20"/>
          <w:szCs w:val="20"/>
        </w:rPr>
        <w:t>cérébrolésés</w:t>
      </w:r>
      <w:proofErr w:type="spellEnd"/>
      <w:r>
        <w:rPr>
          <w:rFonts w:ascii="Times New Roman" w:hAnsi="Times New Roman" w:cs="Times New Roman"/>
          <w:sz w:val="20"/>
          <w:szCs w:val="20"/>
        </w:rPr>
        <w:t xml:space="preserve"> présentant un état de choc septique. Certaines </w:t>
      </w:r>
      <w:r>
        <w:rPr>
          <w:rFonts w:ascii="Times New Roman" w:eastAsia="Segoe UI" w:hAnsi="Times New Roman" w:cs="Times New Roman"/>
          <w:sz w:val="20"/>
          <w:szCs w:val="20"/>
          <w:shd w:val="clear" w:color="auto" w:fill="FFFFFF"/>
        </w:rPr>
        <w:t>données peuvent être manquantes.</w:t>
      </w:r>
    </w:p>
    <w:p w:rsidR="005F20FC" w:rsidRDefault="005F20FC">
      <w:pPr>
        <w:spacing w:after="0" w:line="240" w:lineRule="auto"/>
        <w:jc w:val="both"/>
        <w:rPr>
          <w:rFonts w:ascii="Times New Roman" w:hAnsi="Times New Roman" w:cs="Times New Roman"/>
          <w:sz w:val="20"/>
          <w:szCs w:val="20"/>
        </w:rPr>
      </w:pPr>
    </w:p>
    <w:p w:rsidR="005F20FC" w:rsidRDefault="005F20FC">
      <w:pPr>
        <w:spacing w:after="0" w:line="240" w:lineRule="auto"/>
        <w:jc w:val="both"/>
        <w:rPr>
          <w:rFonts w:ascii="Times New Roman" w:hAnsi="Times New Roman" w:cs="Times New Roman"/>
          <w:b/>
          <w:sz w:val="20"/>
          <w:szCs w:val="20"/>
        </w:rPr>
        <w:sectPr w:rsidR="005F20FC">
          <w:type w:val="continuous"/>
          <w:pgSz w:w="11906" w:h="16838"/>
          <w:pgMar w:top="1417" w:right="1417" w:bottom="1417" w:left="1417" w:header="708" w:footer="708" w:gutter="0"/>
          <w:cols w:num="2" w:space="708"/>
          <w:docGrid w:linePitch="360"/>
        </w:sectPr>
      </w:pPr>
    </w:p>
    <w:p w:rsidR="005F20FC" w:rsidRDefault="005F20FC">
      <w:pPr>
        <w:spacing w:after="0" w:line="240" w:lineRule="auto"/>
        <w:jc w:val="both"/>
        <w:rPr>
          <w:rFonts w:ascii="Times New Roman" w:hAnsi="Times New Roman" w:cs="Times New Roman"/>
          <w:b/>
          <w:sz w:val="20"/>
          <w:szCs w:val="20"/>
        </w:rPr>
      </w:pPr>
    </w:p>
    <w:p w:rsidR="005F20FC" w:rsidRDefault="00511C4A">
      <w:pPr>
        <w:spacing w:after="0" w:line="240" w:lineRule="auto"/>
        <w:jc w:val="both"/>
        <w:rPr>
          <w:rFonts w:ascii="Times New Roman" w:hAnsi="Times New Roman" w:cs="Times New Roman"/>
          <w:b/>
          <w:color w:val="0070C0"/>
          <w:sz w:val="20"/>
          <w:szCs w:val="20"/>
        </w:rPr>
      </w:pPr>
      <w:r>
        <w:rPr>
          <w:rFonts w:ascii="Times New Roman" w:hAnsi="Times New Roman" w:cs="Times New Roman"/>
          <w:b/>
          <w:color w:val="0070C0"/>
          <w:sz w:val="20"/>
          <w:szCs w:val="20"/>
        </w:rPr>
        <w:pict>
          <v:shape id="_x0000_s1031" type="#_x0000_t32" style="position:absolute;left:0;text-align:left;margin-left:59.95pt;margin-top:7.95pt;width:392.4pt;height:0;z-index:251663360" o:connectortype="straight" strokecolor="blue" strokeweight="1.5pt"/>
        </w:pict>
      </w:r>
      <w:r w:rsidR="00191971">
        <w:rPr>
          <w:rFonts w:ascii="Times New Roman" w:hAnsi="Times New Roman" w:cs="Times New Roman"/>
          <w:b/>
          <w:color w:val="0070C0"/>
          <w:sz w:val="20"/>
          <w:szCs w:val="20"/>
        </w:rPr>
        <w:t xml:space="preserve">Conclusion  </w:t>
      </w:r>
    </w:p>
    <w:p w:rsidR="005F20FC" w:rsidRDefault="00191971">
      <w:pPr>
        <w:spacing w:after="0" w:line="240" w:lineRule="auto"/>
        <w:jc w:val="both"/>
        <w:rPr>
          <w:rFonts w:ascii="Times New Roman" w:hAnsi="Times New Roman" w:cs="Times New Roman"/>
          <w:sz w:val="20"/>
          <w:szCs w:val="20"/>
        </w:rPr>
      </w:pPr>
      <w:r>
        <w:rPr>
          <w:rFonts w:ascii="Times New Roman" w:eastAsia="Segoe UI" w:hAnsi="Times New Roman" w:cs="Times New Roman"/>
          <w:sz w:val="20"/>
          <w:szCs w:val="20"/>
          <w:shd w:val="clear" w:color="auto" w:fill="FFFFFF"/>
        </w:rPr>
        <w:t xml:space="preserve">Le choc septique nosocomial chez le patient </w:t>
      </w:r>
      <w:proofErr w:type="spellStart"/>
      <w:r>
        <w:rPr>
          <w:rFonts w:ascii="Times New Roman" w:eastAsia="Segoe UI" w:hAnsi="Times New Roman" w:cs="Times New Roman"/>
          <w:sz w:val="20"/>
          <w:szCs w:val="20"/>
          <w:shd w:val="clear" w:color="auto" w:fill="FFFFFF"/>
        </w:rPr>
        <w:t>cérébrolésé</w:t>
      </w:r>
      <w:proofErr w:type="spellEnd"/>
      <w:r>
        <w:rPr>
          <w:rFonts w:ascii="Times New Roman" w:eastAsia="Segoe UI" w:hAnsi="Times New Roman" w:cs="Times New Roman"/>
          <w:sz w:val="20"/>
          <w:szCs w:val="20"/>
          <w:shd w:val="clear" w:color="auto" w:fill="FFFFFF"/>
        </w:rPr>
        <w:t xml:space="preserve"> en réanimation est une complication fréquente et grave, associée à une mortalité très élevée (71% dans cette série). La présente étude, menée dans un centre hospitalier universitaire malgache, décrit un profil épidémiologique et </w:t>
      </w:r>
      <w:proofErr w:type="spellStart"/>
      <w:r>
        <w:rPr>
          <w:rFonts w:ascii="Times New Roman" w:eastAsia="Segoe UI" w:hAnsi="Times New Roman" w:cs="Times New Roman"/>
          <w:sz w:val="20"/>
          <w:szCs w:val="20"/>
          <w:shd w:val="clear" w:color="auto" w:fill="FFFFFF"/>
        </w:rPr>
        <w:t>clinico</w:t>
      </w:r>
      <w:proofErr w:type="spellEnd"/>
      <w:r>
        <w:rPr>
          <w:rFonts w:ascii="Times New Roman" w:eastAsia="Segoe UI" w:hAnsi="Times New Roman" w:cs="Times New Roman"/>
          <w:sz w:val="20"/>
          <w:szCs w:val="20"/>
          <w:shd w:val="clear" w:color="auto" w:fill="FFFFFF"/>
        </w:rPr>
        <w:t>-bactériologique aligné sur la littérature internationale, avec des spécificités locales comme la prévalence de l’alcoolisme et un délai d’apparition peut-être plus tardif du choc. Les facteurs associés à la mortalité identifiés (âge avancé, désaturation précoce, sévérité de l’atteinte neurologique, nécessité de ventilation mécanique) soulignent l’importance cruciale d’une prise en charge précoce et optimisée, tant de la lésion cérébrale que des défaillances systémiques. Les contraintes économiques limitant l’accès à des soins intensifs complets dans notre contexte constituent un défi majeur. L’amélioration des politiques de soins d’urgence et des ressources en réanimation à Madagascar est essentielle pour espérer réduire la charge de cette complication redoutable.</w:t>
      </w:r>
    </w:p>
    <w:p w:rsidR="005F20FC" w:rsidRDefault="00511C4A">
      <w:pPr>
        <w:spacing w:after="0" w:line="240" w:lineRule="auto"/>
        <w:jc w:val="both"/>
        <w:rPr>
          <w:rFonts w:ascii="Times New Roman" w:hAnsi="Times New Roman" w:cs="Times New Roman"/>
          <w:b/>
          <w:color w:val="0070C0"/>
          <w:sz w:val="20"/>
          <w:szCs w:val="20"/>
        </w:rPr>
      </w:pPr>
      <w:r>
        <w:rPr>
          <w:rFonts w:ascii="Times New Roman" w:hAnsi="Times New Roman" w:cs="Times New Roman"/>
          <w:b/>
          <w:color w:val="0070C0"/>
          <w:sz w:val="20"/>
          <w:szCs w:val="20"/>
        </w:rPr>
        <w:pict>
          <v:shape id="_x0000_s1032" type="#_x0000_t32" style="position:absolute;left:0;text-align:left;margin-left:59.35pt;margin-top:7.8pt;width:395.4pt;height:0;z-index:251664384" o:connectortype="straight" strokecolor="blue" strokeweight="1.5pt"/>
        </w:pict>
      </w:r>
      <w:r w:rsidR="00191971">
        <w:rPr>
          <w:rFonts w:ascii="Times New Roman" w:hAnsi="Times New Roman" w:cs="Times New Roman"/>
          <w:b/>
          <w:color w:val="0070C0"/>
          <w:sz w:val="20"/>
          <w:szCs w:val="20"/>
        </w:rPr>
        <w:t xml:space="preserve">Références </w:t>
      </w:r>
    </w:p>
    <w:p w:rsidR="005F20FC" w:rsidRDefault="00191971">
      <w:pPr>
        <w:pStyle w:val="NormalWeb"/>
        <w:numPr>
          <w:ilvl w:val="0"/>
          <w:numId w:val="4"/>
        </w:numPr>
        <w:shd w:val="clear" w:color="auto" w:fill="FFFFFF"/>
        <w:spacing w:before="0" w:beforeAutospacing="0" w:after="0" w:afterAutospacing="0"/>
        <w:jc w:val="both"/>
        <w:rPr>
          <w:sz w:val="20"/>
          <w:szCs w:val="20"/>
        </w:rPr>
      </w:pPr>
      <w:proofErr w:type="spellStart"/>
      <w:r>
        <w:rPr>
          <w:rFonts w:eastAsia="Segoe UI"/>
          <w:sz w:val="20"/>
          <w:szCs w:val="20"/>
          <w:lang w:val="en-US"/>
        </w:rPr>
        <w:t>Sekino</w:t>
      </w:r>
      <w:proofErr w:type="spellEnd"/>
      <w:r>
        <w:rPr>
          <w:rFonts w:eastAsia="Segoe UI"/>
          <w:sz w:val="20"/>
          <w:szCs w:val="20"/>
          <w:lang w:val="en-US"/>
        </w:rPr>
        <w:t xml:space="preserve"> N, </w:t>
      </w:r>
      <w:proofErr w:type="spellStart"/>
      <w:r>
        <w:rPr>
          <w:rFonts w:eastAsia="Segoe UI"/>
          <w:sz w:val="20"/>
          <w:szCs w:val="20"/>
          <w:lang w:val="en-US"/>
        </w:rPr>
        <w:t>Selim</w:t>
      </w:r>
      <w:proofErr w:type="spellEnd"/>
      <w:r>
        <w:rPr>
          <w:rFonts w:eastAsia="Segoe UI"/>
          <w:sz w:val="20"/>
          <w:szCs w:val="20"/>
          <w:lang w:val="en-US"/>
        </w:rPr>
        <w:t xml:space="preserve"> M, </w:t>
      </w:r>
      <w:proofErr w:type="spellStart"/>
      <w:r>
        <w:rPr>
          <w:rFonts w:eastAsia="Segoe UI"/>
          <w:sz w:val="20"/>
          <w:szCs w:val="20"/>
          <w:lang w:val="en-US"/>
        </w:rPr>
        <w:t>Shehadah</w:t>
      </w:r>
      <w:proofErr w:type="spellEnd"/>
      <w:r>
        <w:rPr>
          <w:rFonts w:eastAsia="Segoe UI"/>
          <w:sz w:val="20"/>
          <w:szCs w:val="20"/>
          <w:lang w:val="en-US"/>
        </w:rPr>
        <w:t xml:space="preserve"> A. Sepsis-associated brain injury: underlying mechanisms and potential therapeutic strategies for acute and long-term cognitive impairments. </w:t>
      </w:r>
      <w:r>
        <w:rPr>
          <w:rStyle w:val="Accentuation"/>
          <w:rFonts w:eastAsia="Segoe UI"/>
          <w:i w:val="0"/>
          <w:iCs w:val="0"/>
          <w:sz w:val="20"/>
          <w:szCs w:val="20"/>
        </w:rPr>
        <w:t xml:space="preserve">J </w:t>
      </w:r>
      <w:proofErr w:type="spellStart"/>
      <w:r>
        <w:rPr>
          <w:rStyle w:val="Accentuation"/>
          <w:rFonts w:eastAsia="Segoe UI"/>
          <w:i w:val="0"/>
          <w:iCs w:val="0"/>
          <w:sz w:val="20"/>
          <w:szCs w:val="20"/>
        </w:rPr>
        <w:t>Neuroinflammation</w:t>
      </w:r>
      <w:proofErr w:type="spellEnd"/>
      <w:r>
        <w:rPr>
          <w:rFonts w:eastAsia="Segoe UI"/>
          <w:sz w:val="20"/>
          <w:szCs w:val="20"/>
        </w:rPr>
        <w:t xml:space="preserve">. </w:t>
      </w:r>
      <w:proofErr w:type="gramStart"/>
      <w:r>
        <w:rPr>
          <w:rFonts w:eastAsia="Segoe UI"/>
          <w:sz w:val="20"/>
          <w:szCs w:val="20"/>
        </w:rPr>
        <w:t>2022;</w:t>
      </w:r>
      <w:proofErr w:type="gramEnd"/>
      <w:r>
        <w:rPr>
          <w:rFonts w:eastAsia="Segoe UI"/>
          <w:sz w:val="20"/>
          <w:szCs w:val="20"/>
        </w:rPr>
        <w:t>19(1):101.</w:t>
      </w:r>
    </w:p>
    <w:p w:rsidR="005F20FC" w:rsidRDefault="00191971">
      <w:pPr>
        <w:pStyle w:val="NormalWeb"/>
        <w:numPr>
          <w:ilvl w:val="0"/>
          <w:numId w:val="4"/>
        </w:numPr>
        <w:shd w:val="clear" w:color="auto" w:fill="FFFFFF"/>
        <w:spacing w:before="0" w:beforeAutospacing="0" w:after="0" w:afterAutospacing="0"/>
        <w:jc w:val="both"/>
        <w:rPr>
          <w:sz w:val="20"/>
          <w:szCs w:val="20"/>
        </w:rPr>
      </w:pPr>
      <w:proofErr w:type="spellStart"/>
      <w:r>
        <w:rPr>
          <w:rFonts w:eastAsia="Calibri"/>
          <w:sz w:val="20"/>
          <w:szCs w:val="20"/>
        </w:rPr>
        <w:lastRenderedPageBreak/>
        <w:t>Samaké</w:t>
      </w:r>
      <w:proofErr w:type="spellEnd"/>
      <w:r>
        <w:rPr>
          <w:rFonts w:eastAsia="Calibri"/>
          <w:sz w:val="20"/>
          <w:szCs w:val="20"/>
        </w:rPr>
        <w:t xml:space="preserve"> BM, </w:t>
      </w:r>
      <w:proofErr w:type="spellStart"/>
      <w:r>
        <w:rPr>
          <w:rFonts w:eastAsia="Calibri"/>
          <w:sz w:val="20"/>
          <w:szCs w:val="20"/>
        </w:rPr>
        <w:t>Goita</w:t>
      </w:r>
      <w:proofErr w:type="spellEnd"/>
      <w:r>
        <w:rPr>
          <w:rFonts w:eastAsia="Calibri"/>
          <w:sz w:val="20"/>
          <w:szCs w:val="20"/>
        </w:rPr>
        <w:t xml:space="preserve"> D, </w:t>
      </w:r>
      <w:proofErr w:type="spellStart"/>
      <w:r>
        <w:rPr>
          <w:rFonts w:eastAsia="Calibri"/>
          <w:sz w:val="20"/>
          <w:szCs w:val="20"/>
        </w:rPr>
        <w:t>Diani</w:t>
      </w:r>
      <w:proofErr w:type="spellEnd"/>
      <w:r>
        <w:rPr>
          <w:rFonts w:eastAsia="Calibri"/>
          <w:sz w:val="20"/>
          <w:szCs w:val="20"/>
        </w:rPr>
        <w:t xml:space="preserve"> N, </w:t>
      </w:r>
      <w:proofErr w:type="spellStart"/>
      <w:r>
        <w:rPr>
          <w:rFonts w:eastAsia="Calibri"/>
          <w:sz w:val="20"/>
          <w:szCs w:val="20"/>
        </w:rPr>
        <w:t>Diaga</w:t>
      </w:r>
      <w:proofErr w:type="spellEnd"/>
      <w:r>
        <w:rPr>
          <w:rFonts w:eastAsia="Calibri"/>
          <w:sz w:val="20"/>
          <w:szCs w:val="20"/>
        </w:rPr>
        <w:t xml:space="preserve"> D, Kéita M, Diallo A. Facteurs d’agressions cérébrales secondaires d’origine systémique des patients de réanimation traumatisés crâniens graves au C.H.U. Gabriel Touré. </w:t>
      </w:r>
      <w:proofErr w:type="spellStart"/>
      <w:r>
        <w:rPr>
          <w:rFonts w:eastAsia="Calibri"/>
          <w:sz w:val="20"/>
          <w:szCs w:val="20"/>
        </w:rPr>
        <w:t>Rev</w:t>
      </w:r>
      <w:proofErr w:type="spellEnd"/>
      <w:r>
        <w:rPr>
          <w:rFonts w:eastAsia="Calibri"/>
          <w:sz w:val="20"/>
          <w:szCs w:val="20"/>
        </w:rPr>
        <w:t xml:space="preserve"> </w:t>
      </w:r>
      <w:proofErr w:type="spellStart"/>
      <w:r>
        <w:rPr>
          <w:rFonts w:eastAsia="Calibri"/>
          <w:sz w:val="20"/>
          <w:szCs w:val="20"/>
        </w:rPr>
        <w:t>Afr</w:t>
      </w:r>
      <w:proofErr w:type="spellEnd"/>
      <w:r>
        <w:rPr>
          <w:rFonts w:eastAsia="Calibri"/>
          <w:sz w:val="20"/>
          <w:szCs w:val="20"/>
        </w:rPr>
        <w:t xml:space="preserve"> </w:t>
      </w:r>
      <w:proofErr w:type="spellStart"/>
      <w:r>
        <w:rPr>
          <w:rFonts w:eastAsia="Calibri"/>
          <w:sz w:val="20"/>
          <w:szCs w:val="20"/>
        </w:rPr>
        <w:t>Anesth</w:t>
      </w:r>
      <w:proofErr w:type="spellEnd"/>
      <w:r>
        <w:rPr>
          <w:rFonts w:eastAsia="Calibri"/>
          <w:sz w:val="20"/>
          <w:szCs w:val="20"/>
        </w:rPr>
        <w:t xml:space="preserve"> </w:t>
      </w:r>
      <w:proofErr w:type="spellStart"/>
      <w:r>
        <w:rPr>
          <w:rFonts w:eastAsia="Calibri"/>
          <w:sz w:val="20"/>
          <w:szCs w:val="20"/>
        </w:rPr>
        <w:t>Méd</w:t>
      </w:r>
      <w:proofErr w:type="spellEnd"/>
      <w:r>
        <w:rPr>
          <w:rFonts w:eastAsia="Calibri"/>
          <w:sz w:val="20"/>
          <w:szCs w:val="20"/>
        </w:rPr>
        <w:t xml:space="preserve"> </w:t>
      </w:r>
      <w:proofErr w:type="spellStart"/>
      <w:r>
        <w:rPr>
          <w:rFonts w:eastAsia="Calibri"/>
          <w:sz w:val="20"/>
          <w:szCs w:val="20"/>
        </w:rPr>
        <w:t>Urg</w:t>
      </w:r>
      <w:proofErr w:type="spellEnd"/>
      <w:r>
        <w:rPr>
          <w:rFonts w:eastAsia="Calibri"/>
          <w:sz w:val="20"/>
          <w:szCs w:val="20"/>
        </w:rPr>
        <w:t>. 2012 ;17(3</w:t>
      </w:r>
      <w:proofErr w:type="gramStart"/>
      <w:r>
        <w:rPr>
          <w:rFonts w:eastAsia="Calibri"/>
          <w:sz w:val="20"/>
          <w:szCs w:val="20"/>
        </w:rPr>
        <w:t>):</w:t>
      </w:r>
      <w:proofErr w:type="gramEnd"/>
      <w:r>
        <w:rPr>
          <w:rFonts w:eastAsia="Calibri"/>
          <w:sz w:val="20"/>
          <w:szCs w:val="20"/>
        </w:rPr>
        <w:t>62‑7.</w:t>
      </w:r>
    </w:p>
    <w:p w:rsidR="005F20FC" w:rsidRDefault="00191971">
      <w:pPr>
        <w:pStyle w:val="NormalWeb"/>
        <w:numPr>
          <w:ilvl w:val="0"/>
          <w:numId w:val="4"/>
        </w:numPr>
        <w:shd w:val="clear" w:color="auto" w:fill="FFFFFF"/>
        <w:spacing w:before="0" w:beforeAutospacing="0" w:after="0" w:afterAutospacing="0"/>
        <w:jc w:val="both"/>
        <w:rPr>
          <w:rFonts w:eastAsia="Segoe UI"/>
          <w:sz w:val="20"/>
          <w:szCs w:val="20"/>
        </w:rPr>
      </w:pPr>
      <w:r>
        <w:rPr>
          <w:rFonts w:eastAsia="Segoe UI"/>
          <w:sz w:val="20"/>
          <w:szCs w:val="20"/>
          <w:lang w:val="en-US"/>
        </w:rPr>
        <w:t xml:space="preserve">Anderson D, </w:t>
      </w:r>
      <w:proofErr w:type="spellStart"/>
      <w:r>
        <w:rPr>
          <w:rFonts w:eastAsia="Segoe UI"/>
          <w:sz w:val="20"/>
          <w:szCs w:val="20"/>
          <w:lang w:val="en-US"/>
        </w:rPr>
        <w:t>Kutsogiannis</w:t>
      </w:r>
      <w:proofErr w:type="spellEnd"/>
      <w:r>
        <w:rPr>
          <w:rFonts w:eastAsia="Segoe UI"/>
          <w:sz w:val="20"/>
          <w:szCs w:val="20"/>
          <w:lang w:val="en-US"/>
        </w:rPr>
        <w:t xml:space="preserve"> DJ, </w:t>
      </w:r>
      <w:proofErr w:type="spellStart"/>
      <w:r>
        <w:rPr>
          <w:rFonts w:eastAsia="Segoe UI"/>
          <w:sz w:val="20"/>
          <w:szCs w:val="20"/>
          <w:lang w:val="en-US"/>
        </w:rPr>
        <w:t>Sligl</w:t>
      </w:r>
      <w:proofErr w:type="spellEnd"/>
      <w:r>
        <w:rPr>
          <w:rFonts w:eastAsia="Segoe UI"/>
          <w:sz w:val="20"/>
          <w:szCs w:val="20"/>
          <w:lang w:val="en-US"/>
        </w:rPr>
        <w:t xml:space="preserve"> WI. Sepsis in traumatic brain injury: epidemiology and outcomes. </w:t>
      </w:r>
      <w:r>
        <w:rPr>
          <w:rStyle w:val="Accentuation"/>
          <w:rFonts w:eastAsia="Segoe UI"/>
          <w:i w:val="0"/>
          <w:iCs w:val="0"/>
          <w:sz w:val="20"/>
          <w:szCs w:val="20"/>
        </w:rPr>
        <w:t xml:space="preserve">Can J </w:t>
      </w:r>
      <w:proofErr w:type="spellStart"/>
      <w:r>
        <w:rPr>
          <w:rStyle w:val="Accentuation"/>
          <w:rFonts w:eastAsia="Segoe UI"/>
          <w:i w:val="0"/>
          <w:iCs w:val="0"/>
          <w:sz w:val="20"/>
          <w:szCs w:val="20"/>
        </w:rPr>
        <w:t>Neurol</w:t>
      </w:r>
      <w:proofErr w:type="spellEnd"/>
      <w:r>
        <w:rPr>
          <w:rStyle w:val="Accentuation"/>
          <w:rFonts w:eastAsia="Segoe UI"/>
          <w:i w:val="0"/>
          <w:iCs w:val="0"/>
          <w:sz w:val="20"/>
          <w:szCs w:val="20"/>
        </w:rPr>
        <w:t xml:space="preserve"> </w:t>
      </w:r>
      <w:proofErr w:type="spellStart"/>
      <w:r>
        <w:rPr>
          <w:rStyle w:val="Accentuation"/>
          <w:rFonts w:eastAsia="Segoe UI"/>
          <w:i w:val="0"/>
          <w:iCs w:val="0"/>
          <w:sz w:val="20"/>
          <w:szCs w:val="20"/>
        </w:rPr>
        <w:t>Sci</w:t>
      </w:r>
      <w:proofErr w:type="spellEnd"/>
      <w:r>
        <w:rPr>
          <w:rFonts w:eastAsia="Segoe UI"/>
          <w:sz w:val="20"/>
          <w:szCs w:val="20"/>
        </w:rPr>
        <w:t xml:space="preserve">. </w:t>
      </w:r>
      <w:proofErr w:type="gramStart"/>
      <w:r>
        <w:rPr>
          <w:rFonts w:eastAsia="Segoe UI"/>
          <w:sz w:val="20"/>
          <w:szCs w:val="20"/>
        </w:rPr>
        <w:t>2020;</w:t>
      </w:r>
      <w:proofErr w:type="gramEnd"/>
      <w:r>
        <w:rPr>
          <w:rFonts w:eastAsia="Segoe UI"/>
          <w:sz w:val="20"/>
          <w:szCs w:val="20"/>
        </w:rPr>
        <w:t>47(2):197-201.</w:t>
      </w:r>
    </w:p>
    <w:p w:rsidR="005F20FC" w:rsidRDefault="00191971">
      <w:pPr>
        <w:pStyle w:val="NormalWeb"/>
        <w:numPr>
          <w:ilvl w:val="0"/>
          <w:numId w:val="4"/>
        </w:numPr>
        <w:shd w:val="clear" w:color="auto" w:fill="FFFFFF"/>
        <w:spacing w:before="0" w:beforeAutospacing="0" w:after="0" w:afterAutospacing="0"/>
        <w:jc w:val="both"/>
        <w:rPr>
          <w:sz w:val="20"/>
          <w:szCs w:val="20"/>
        </w:rPr>
      </w:pPr>
      <w:r>
        <w:rPr>
          <w:rFonts w:eastAsia="Segoe UI"/>
          <w:sz w:val="20"/>
          <w:szCs w:val="20"/>
          <w:lang w:val="en-US"/>
        </w:rPr>
        <w:t>Cardozo Junior LCM, da Silva RR. Sepsis in intensive care unit patients with traumatic brain injury: factors associated with higher mortality. </w:t>
      </w:r>
      <w:proofErr w:type="spellStart"/>
      <w:r>
        <w:rPr>
          <w:rStyle w:val="Accentuation"/>
          <w:rFonts w:eastAsia="Segoe UI"/>
          <w:i w:val="0"/>
          <w:iCs w:val="0"/>
          <w:sz w:val="20"/>
          <w:szCs w:val="20"/>
        </w:rPr>
        <w:t>Rev</w:t>
      </w:r>
      <w:proofErr w:type="spellEnd"/>
      <w:r>
        <w:rPr>
          <w:rStyle w:val="Accentuation"/>
          <w:rFonts w:eastAsia="Segoe UI"/>
          <w:i w:val="0"/>
          <w:iCs w:val="0"/>
          <w:sz w:val="20"/>
          <w:szCs w:val="20"/>
        </w:rPr>
        <w:t xml:space="preserve"> Bras Ter </w:t>
      </w:r>
      <w:proofErr w:type="spellStart"/>
      <w:r>
        <w:rPr>
          <w:rStyle w:val="Accentuation"/>
          <w:rFonts w:eastAsia="Segoe UI"/>
          <w:i w:val="0"/>
          <w:iCs w:val="0"/>
          <w:sz w:val="20"/>
          <w:szCs w:val="20"/>
        </w:rPr>
        <w:t>Intensiva</w:t>
      </w:r>
      <w:proofErr w:type="spellEnd"/>
      <w:r>
        <w:rPr>
          <w:rFonts w:eastAsia="Segoe UI"/>
          <w:sz w:val="20"/>
          <w:szCs w:val="20"/>
        </w:rPr>
        <w:t xml:space="preserve">. </w:t>
      </w:r>
      <w:proofErr w:type="gramStart"/>
      <w:r>
        <w:rPr>
          <w:rFonts w:eastAsia="Segoe UI"/>
          <w:sz w:val="20"/>
          <w:szCs w:val="20"/>
        </w:rPr>
        <w:t>2014;</w:t>
      </w:r>
      <w:proofErr w:type="gramEnd"/>
      <w:r>
        <w:rPr>
          <w:rFonts w:eastAsia="Segoe UI"/>
          <w:sz w:val="20"/>
          <w:szCs w:val="20"/>
        </w:rPr>
        <w:t>26(2):148-54.</w:t>
      </w:r>
    </w:p>
    <w:p w:rsidR="005F20FC" w:rsidRDefault="00191971">
      <w:pPr>
        <w:pStyle w:val="NormalWeb"/>
        <w:numPr>
          <w:ilvl w:val="0"/>
          <w:numId w:val="4"/>
        </w:numPr>
        <w:shd w:val="clear" w:color="auto" w:fill="FFFFFF"/>
        <w:spacing w:before="0" w:beforeAutospacing="0" w:after="0" w:afterAutospacing="0"/>
        <w:jc w:val="both"/>
        <w:rPr>
          <w:sz w:val="20"/>
          <w:szCs w:val="20"/>
        </w:rPr>
      </w:pPr>
      <w:r>
        <w:rPr>
          <w:rFonts w:eastAsia="Segoe UI"/>
          <w:sz w:val="20"/>
          <w:szCs w:val="20"/>
        </w:rPr>
        <w:t xml:space="preserve">Zhang J, Li YI, Pieters TA, </w:t>
      </w:r>
      <w:proofErr w:type="spellStart"/>
      <w:r>
        <w:rPr>
          <w:rFonts w:eastAsia="Segoe UI"/>
          <w:sz w:val="20"/>
          <w:szCs w:val="20"/>
        </w:rPr>
        <w:t>Towner</w:t>
      </w:r>
      <w:proofErr w:type="spellEnd"/>
      <w:r>
        <w:rPr>
          <w:rFonts w:eastAsia="Segoe UI"/>
          <w:sz w:val="20"/>
          <w:szCs w:val="20"/>
        </w:rPr>
        <w:t xml:space="preserve"> J, Li KZ, Al-</w:t>
      </w:r>
      <w:proofErr w:type="spellStart"/>
      <w:r>
        <w:rPr>
          <w:rFonts w:eastAsia="Segoe UI"/>
          <w:sz w:val="20"/>
          <w:szCs w:val="20"/>
        </w:rPr>
        <w:t>Dhahir</w:t>
      </w:r>
      <w:proofErr w:type="spellEnd"/>
      <w:r>
        <w:rPr>
          <w:rFonts w:eastAsia="Segoe UI"/>
          <w:sz w:val="20"/>
          <w:szCs w:val="20"/>
        </w:rPr>
        <w:t xml:space="preserve"> MA, et al. </w:t>
      </w:r>
      <w:r>
        <w:rPr>
          <w:rFonts w:eastAsia="Segoe UI"/>
          <w:sz w:val="20"/>
          <w:szCs w:val="20"/>
          <w:lang w:val="en-US"/>
        </w:rPr>
        <w:t>Sepsis and septic shock after craniotomy: Predicting a significant patient safety and quality outcome measure. </w:t>
      </w:r>
      <w:proofErr w:type="spellStart"/>
      <w:r>
        <w:rPr>
          <w:rStyle w:val="Accentuation"/>
          <w:rFonts w:eastAsia="Segoe UI"/>
          <w:i w:val="0"/>
          <w:iCs w:val="0"/>
          <w:sz w:val="20"/>
          <w:szCs w:val="20"/>
        </w:rPr>
        <w:t>PLoS</w:t>
      </w:r>
      <w:proofErr w:type="spellEnd"/>
      <w:r>
        <w:rPr>
          <w:rStyle w:val="Accentuation"/>
          <w:rFonts w:eastAsia="Segoe UI"/>
          <w:i w:val="0"/>
          <w:iCs w:val="0"/>
          <w:sz w:val="20"/>
          <w:szCs w:val="20"/>
        </w:rPr>
        <w:t xml:space="preserve"> One</w:t>
      </w:r>
      <w:r>
        <w:rPr>
          <w:rFonts w:eastAsia="Segoe UI"/>
          <w:sz w:val="20"/>
          <w:szCs w:val="20"/>
        </w:rPr>
        <w:t xml:space="preserve">. </w:t>
      </w:r>
      <w:proofErr w:type="gramStart"/>
      <w:r>
        <w:rPr>
          <w:rFonts w:eastAsia="Segoe UI"/>
          <w:sz w:val="20"/>
          <w:szCs w:val="20"/>
        </w:rPr>
        <w:t>2020;</w:t>
      </w:r>
      <w:proofErr w:type="gramEnd"/>
      <w:r>
        <w:rPr>
          <w:rFonts w:eastAsia="Segoe UI"/>
          <w:sz w:val="20"/>
          <w:szCs w:val="20"/>
        </w:rPr>
        <w:t>15(9):e0235273.</w:t>
      </w:r>
    </w:p>
    <w:p w:rsidR="005F20FC" w:rsidRDefault="00191971">
      <w:pPr>
        <w:pStyle w:val="NormalWeb"/>
        <w:numPr>
          <w:ilvl w:val="0"/>
          <w:numId w:val="4"/>
        </w:numPr>
        <w:shd w:val="clear" w:color="auto" w:fill="FFFFFF"/>
        <w:spacing w:before="0" w:beforeAutospacing="0" w:after="0" w:afterAutospacing="0"/>
        <w:jc w:val="both"/>
        <w:rPr>
          <w:sz w:val="20"/>
          <w:szCs w:val="20"/>
        </w:rPr>
      </w:pPr>
      <w:proofErr w:type="spellStart"/>
      <w:r>
        <w:rPr>
          <w:rFonts w:eastAsia="Segoe UI"/>
          <w:sz w:val="20"/>
          <w:szCs w:val="20"/>
        </w:rPr>
        <w:t>Randriamifidy</w:t>
      </w:r>
      <w:proofErr w:type="spellEnd"/>
      <w:r>
        <w:rPr>
          <w:rFonts w:eastAsia="Segoe UI"/>
          <w:sz w:val="20"/>
          <w:szCs w:val="20"/>
        </w:rPr>
        <w:t xml:space="preserve"> HL. Profil </w:t>
      </w:r>
      <w:proofErr w:type="spellStart"/>
      <w:r>
        <w:rPr>
          <w:rFonts w:eastAsia="Segoe UI"/>
          <w:sz w:val="20"/>
          <w:szCs w:val="20"/>
        </w:rPr>
        <w:t>épidémio</w:t>
      </w:r>
      <w:proofErr w:type="spellEnd"/>
      <w:r>
        <w:rPr>
          <w:rFonts w:eastAsia="Segoe UI"/>
          <w:sz w:val="20"/>
          <w:szCs w:val="20"/>
        </w:rPr>
        <w:t>-clinique de l'état de choc septique en réanimation chirurgicale du CHU-JRA [thèse]. Antananarivo : Université d'Antananarivo ; 2016. 105 p.</w:t>
      </w:r>
    </w:p>
    <w:p w:rsidR="005F20FC" w:rsidRDefault="00191971">
      <w:pPr>
        <w:pStyle w:val="NormalWeb"/>
        <w:numPr>
          <w:ilvl w:val="0"/>
          <w:numId w:val="4"/>
        </w:numPr>
        <w:shd w:val="clear" w:color="auto" w:fill="FFFFFF"/>
        <w:spacing w:before="0" w:beforeAutospacing="0" w:after="0" w:afterAutospacing="0"/>
        <w:jc w:val="both"/>
        <w:rPr>
          <w:sz w:val="20"/>
          <w:szCs w:val="20"/>
        </w:rPr>
      </w:pPr>
      <w:r>
        <w:rPr>
          <w:rFonts w:eastAsia="Segoe UI"/>
          <w:sz w:val="20"/>
          <w:szCs w:val="20"/>
          <w:shd w:val="clear" w:color="auto" w:fill="FFFFFF"/>
        </w:rPr>
        <w:t xml:space="preserve">Singer M, </w:t>
      </w:r>
      <w:proofErr w:type="spellStart"/>
      <w:r>
        <w:rPr>
          <w:rFonts w:eastAsia="Segoe UI"/>
          <w:sz w:val="20"/>
          <w:szCs w:val="20"/>
          <w:shd w:val="clear" w:color="auto" w:fill="FFFFFF"/>
        </w:rPr>
        <w:t>Deutschman</w:t>
      </w:r>
      <w:proofErr w:type="spellEnd"/>
      <w:r>
        <w:rPr>
          <w:rFonts w:eastAsia="Segoe UI"/>
          <w:sz w:val="20"/>
          <w:szCs w:val="20"/>
          <w:shd w:val="clear" w:color="auto" w:fill="FFFFFF"/>
        </w:rPr>
        <w:t xml:space="preserve"> CS, Seymour CW, Shankar-Hari M, </w:t>
      </w:r>
      <w:proofErr w:type="spellStart"/>
      <w:r>
        <w:rPr>
          <w:rFonts w:eastAsia="Segoe UI"/>
          <w:sz w:val="20"/>
          <w:szCs w:val="20"/>
          <w:shd w:val="clear" w:color="auto" w:fill="FFFFFF"/>
        </w:rPr>
        <w:t>Annane</w:t>
      </w:r>
      <w:proofErr w:type="spellEnd"/>
      <w:r>
        <w:rPr>
          <w:rFonts w:eastAsia="Segoe UI"/>
          <w:sz w:val="20"/>
          <w:szCs w:val="20"/>
          <w:shd w:val="clear" w:color="auto" w:fill="FFFFFF"/>
        </w:rPr>
        <w:t xml:space="preserve"> D, Bauer M, et al. </w:t>
      </w:r>
      <w:r>
        <w:rPr>
          <w:rFonts w:eastAsia="Segoe UI"/>
          <w:sz w:val="20"/>
          <w:szCs w:val="20"/>
          <w:shd w:val="clear" w:color="auto" w:fill="FFFFFF"/>
          <w:lang w:val="en-US"/>
        </w:rPr>
        <w:t>The Third International Consensus Definitions for Sepsis and Septic Shock (Sepsis-3). </w:t>
      </w:r>
      <w:r>
        <w:rPr>
          <w:rStyle w:val="Accentuation"/>
          <w:rFonts w:eastAsia="Segoe UI"/>
          <w:i w:val="0"/>
          <w:iCs w:val="0"/>
          <w:sz w:val="20"/>
          <w:szCs w:val="20"/>
          <w:shd w:val="clear" w:color="auto" w:fill="FFFFFF"/>
        </w:rPr>
        <w:t>JAMA</w:t>
      </w:r>
      <w:r>
        <w:rPr>
          <w:rFonts w:eastAsia="Segoe UI"/>
          <w:sz w:val="20"/>
          <w:szCs w:val="20"/>
          <w:shd w:val="clear" w:color="auto" w:fill="FFFFFF"/>
        </w:rPr>
        <w:t xml:space="preserve">. </w:t>
      </w:r>
      <w:proofErr w:type="gramStart"/>
      <w:r>
        <w:rPr>
          <w:rFonts w:eastAsia="Segoe UI"/>
          <w:sz w:val="20"/>
          <w:szCs w:val="20"/>
          <w:shd w:val="clear" w:color="auto" w:fill="FFFFFF"/>
        </w:rPr>
        <w:t>2016;</w:t>
      </w:r>
      <w:proofErr w:type="gramEnd"/>
      <w:r>
        <w:rPr>
          <w:rFonts w:eastAsia="Segoe UI"/>
          <w:sz w:val="20"/>
          <w:szCs w:val="20"/>
          <w:shd w:val="clear" w:color="auto" w:fill="FFFFFF"/>
        </w:rPr>
        <w:t>315(8):801-10.</w:t>
      </w:r>
    </w:p>
    <w:p w:rsidR="005F20FC" w:rsidRDefault="00191971">
      <w:pPr>
        <w:pStyle w:val="NormalWeb"/>
        <w:numPr>
          <w:ilvl w:val="0"/>
          <w:numId w:val="4"/>
        </w:numPr>
        <w:shd w:val="clear" w:color="auto" w:fill="FFFFFF"/>
        <w:spacing w:before="0" w:beforeAutospacing="0" w:after="0" w:afterAutospacing="0"/>
        <w:jc w:val="both"/>
        <w:rPr>
          <w:sz w:val="20"/>
          <w:szCs w:val="20"/>
        </w:rPr>
      </w:pPr>
      <w:proofErr w:type="spellStart"/>
      <w:r>
        <w:rPr>
          <w:rFonts w:eastAsia="Segoe UI"/>
          <w:sz w:val="20"/>
          <w:szCs w:val="20"/>
          <w:lang w:val="en-US"/>
        </w:rPr>
        <w:t>Stösser</w:t>
      </w:r>
      <w:proofErr w:type="spellEnd"/>
      <w:r>
        <w:rPr>
          <w:rFonts w:eastAsia="Segoe UI"/>
          <w:sz w:val="20"/>
          <w:szCs w:val="20"/>
          <w:lang w:val="en-US"/>
        </w:rPr>
        <w:t xml:space="preserve"> S, </w:t>
      </w:r>
      <w:proofErr w:type="spellStart"/>
      <w:r>
        <w:rPr>
          <w:rFonts w:eastAsia="Segoe UI"/>
          <w:sz w:val="20"/>
          <w:szCs w:val="20"/>
          <w:lang w:val="en-US"/>
        </w:rPr>
        <w:t>Isakeit</w:t>
      </w:r>
      <w:proofErr w:type="spellEnd"/>
      <w:r>
        <w:rPr>
          <w:rFonts w:eastAsia="Segoe UI"/>
          <w:sz w:val="20"/>
          <w:szCs w:val="20"/>
          <w:lang w:val="en-US"/>
        </w:rPr>
        <w:t xml:space="preserve"> J, Bode FJ, Bode C, </w:t>
      </w:r>
      <w:proofErr w:type="spellStart"/>
      <w:r>
        <w:rPr>
          <w:rFonts w:eastAsia="Segoe UI"/>
          <w:sz w:val="20"/>
          <w:szCs w:val="20"/>
          <w:lang w:val="en-US"/>
        </w:rPr>
        <w:t>Petzold</w:t>
      </w:r>
      <w:proofErr w:type="spellEnd"/>
      <w:r>
        <w:rPr>
          <w:rFonts w:eastAsia="Segoe UI"/>
          <w:sz w:val="20"/>
          <w:szCs w:val="20"/>
          <w:lang w:val="en-US"/>
        </w:rPr>
        <w:t xml:space="preserve"> GC. Sepsis in patients with large vessel occlusion stroke: clinical characteristics and outcome. </w:t>
      </w:r>
      <w:r>
        <w:rPr>
          <w:rStyle w:val="Accentuation"/>
          <w:rFonts w:eastAsia="Segoe UI"/>
          <w:i w:val="0"/>
          <w:iCs w:val="0"/>
          <w:sz w:val="20"/>
          <w:szCs w:val="20"/>
        </w:rPr>
        <w:t xml:space="preserve">Front </w:t>
      </w:r>
      <w:proofErr w:type="spellStart"/>
      <w:r>
        <w:rPr>
          <w:rStyle w:val="Accentuation"/>
          <w:rFonts w:eastAsia="Segoe UI"/>
          <w:i w:val="0"/>
          <w:iCs w:val="0"/>
          <w:sz w:val="20"/>
          <w:szCs w:val="20"/>
        </w:rPr>
        <w:t>Neurol</w:t>
      </w:r>
      <w:proofErr w:type="spellEnd"/>
      <w:r>
        <w:rPr>
          <w:rFonts w:eastAsia="Segoe UI"/>
          <w:sz w:val="20"/>
          <w:szCs w:val="20"/>
        </w:rPr>
        <w:t xml:space="preserve">. </w:t>
      </w:r>
      <w:proofErr w:type="gramStart"/>
      <w:r>
        <w:rPr>
          <w:rFonts w:eastAsia="Segoe UI"/>
          <w:sz w:val="20"/>
          <w:szCs w:val="20"/>
        </w:rPr>
        <w:t>2022;</w:t>
      </w:r>
      <w:proofErr w:type="gramEnd"/>
      <w:r>
        <w:rPr>
          <w:rFonts w:eastAsia="Segoe UI"/>
          <w:sz w:val="20"/>
          <w:szCs w:val="20"/>
        </w:rPr>
        <w:t>13:1-9.</w:t>
      </w:r>
    </w:p>
    <w:p w:rsidR="005F20FC" w:rsidRDefault="00191971">
      <w:pPr>
        <w:pStyle w:val="NormalWeb"/>
        <w:numPr>
          <w:ilvl w:val="0"/>
          <w:numId w:val="4"/>
        </w:numPr>
        <w:shd w:val="clear" w:color="auto" w:fill="FFFFFF"/>
        <w:spacing w:before="0" w:beforeAutospacing="0" w:after="0" w:afterAutospacing="0"/>
        <w:jc w:val="both"/>
        <w:rPr>
          <w:sz w:val="20"/>
          <w:szCs w:val="20"/>
        </w:rPr>
      </w:pPr>
      <w:proofErr w:type="spellStart"/>
      <w:r>
        <w:rPr>
          <w:rFonts w:eastAsia="Segoe UI"/>
          <w:sz w:val="20"/>
          <w:szCs w:val="20"/>
        </w:rPr>
        <w:t>Sanoussi</w:t>
      </w:r>
      <w:proofErr w:type="spellEnd"/>
      <w:r>
        <w:rPr>
          <w:rFonts w:eastAsia="Segoe UI"/>
          <w:sz w:val="20"/>
          <w:szCs w:val="20"/>
        </w:rPr>
        <w:t xml:space="preserve"> NM, Brahim B, </w:t>
      </w:r>
      <w:proofErr w:type="spellStart"/>
      <w:r>
        <w:rPr>
          <w:rFonts w:eastAsia="Segoe UI"/>
          <w:sz w:val="20"/>
          <w:szCs w:val="20"/>
        </w:rPr>
        <w:t>Derkaoui</w:t>
      </w:r>
      <w:proofErr w:type="spellEnd"/>
      <w:r>
        <w:rPr>
          <w:rFonts w:eastAsia="Segoe UI"/>
          <w:sz w:val="20"/>
          <w:szCs w:val="20"/>
        </w:rPr>
        <w:t xml:space="preserve"> A, Abdelkrim S, Mohammed K. Facteurs de risques du sepsis chez les traumatisés crâniens graves. </w:t>
      </w:r>
      <w:r>
        <w:rPr>
          <w:rStyle w:val="Accentuation"/>
          <w:rFonts w:eastAsia="Segoe UI"/>
          <w:i w:val="0"/>
          <w:iCs w:val="0"/>
          <w:sz w:val="20"/>
          <w:szCs w:val="20"/>
        </w:rPr>
        <w:t xml:space="preserve">J Med </w:t>
      </w:r>
      <w:proofErr w:type="spellStart"/>
      <w:r>
        <w:rPr>
          <w:rStyle w:val="Accentuation"/>
          <w:rFonts w:eastAsia="Segoe UI"/>
          <w:i w:val="0"/>
          <w:iCs w:val="0"/>
          <w:sz w:val="20"/>
          <w:szCs w:val="20"/>
        </w:rPr>
        <w:t>Resc</w:t>
      </w:r>
      <w:proofErr w:type="spellEnd"/>
      <w:r>
        <w:rPr>
          <w:rStyle w:val="Accentuation"/>
          <w:rFonts w:eastAsia="Segoe UI"/>
          <w:i w:val="0"/>
          <w:iCs w:val="0"/>
          <w:sz w:val="20"/>
          <w:szCs w:val="20"/>
        </w:rPr>
        <w:t xml:space="preserve"> </w:t>
      </w:r>
      <w:proofErr w:type="spellStart"/>
      <w:r>
        <w:rPr>
          <w:rStyle w:val="Accentuation"/>
          <w:rFonts w:eastAsia="Segoe UI"/>
          <w:i w:val="0"/>
          <w:iCs w:val="0"/>
          <w:sz w:val="20"/>
          <w:szCs w:val="20"/>
        </w:rPr>
        <w:t>Health</w:t>
      </w:r>
      <w:proofErr w:type="spellEnd"/>
      <w:r>
        <w:rPr>
          <w:rStyle w:val="Accentuation"/>
          <w:rFonts w:eastAsia="Segoe UI"/>
          <w:i w:val="0"/>
          <w:iCs w:val="0"/>
          <w:sz w:val="20"/>
          <w:szCs w:val="20"/>
        </w:rPr>
        <w:t xml:space="preserve"> </w:t>
      </w:r>
      <w:proofErr w:type="spellStart"/>
      <w:r>
        <w:rPr>
          <w:rStyle w:val="Accentuation"/>
          <w:rFonts w:eastAsia="Segoe UI"/>
          <w:i w:val="0"/>
          <w:iCs w:val="0"/>
          <w:sz w:val="20"/>
          <w:szCs w:val="20"/>
        </w:rPr>
        <w:t>Sci</w:t>
      </w:r>
      <w:proofErr w:type="spellEnd"/>
      <w:r>
        <w:rPr>
          <w:rFonts w:eastAsia="Segoe UI"/>
          <w:sz w:val="20"/>
          <w:szCs w:val="20"/>
        </w:rPr>
        <w:t xml:space="preserve">. </w:t>
      </w:r>
      <w:proofErr w:type="gramStart"/>
      <w:r>
        <w:rPr>
          <w:rFonts w:eastAsia="Segoe UI"/>
          <w:sz w:val="20"/>
          <w:szCs w:val="20"/>
        </w:rPr>
        <w:t>2022;</w:t>
      </w:r>
      <w:proofErr w:type="gramEnd"/>
      <w:r>
        <w:rPr>
          <w:rFonts w:eastAsia="Segoe UI"/>
          <w:sz w:val="20"/>
          <w:szCs w:val="20"/>
        </w:rPr>
        <w:t>5(1):1653-7.</w:t>
      </w:r>
    </w:p>
    <w:p w:rsidR="005F20FC" w:rsidRDefault="00191971">
      <w:pPr>
        <w:pStyle w:val="NormalWeb"/>
        <w:numPr>
          <w:ilvl w:val="0"/>
          <w:numId w:val="4"/>
        </w:numPr>
        <w:shd w:val="clear" w:color="auto" w:fill="FFFFFF"/>
        <w:spacing w:before="0" w:beforeAutospacing="0" w:after="0" w:afterAutospacing="0"/>
        <w:jc w:val="both"/>
        <w:rPr>
          <w:sz w:val="20"/>
          <w:szCs w:val="20"/>
        </w:rPr>
      </w:pPr>
      <w:r>
        <w:rPr>
          <w:rFonts w:eastAsia="Segoe UI"/>
          <w:sz w:val="20"/>
          <w:szCs w:val="20"/>
        </w:rPr>
        <w:t>Thomas D. Le tabagisme dans les pays en développement : un facteur de risque et de pauvreté. </w:t>
      </w:r>
      <w:r>
        <w:rPr>
          <w:rStyle w:val="Accentuation"/>
          <w:rFonts w:eastAsia="Segoe UI"/>
          <w:i w:val="0"/>
          <w:iCs w:val="0"/>
          <w:sz w:val="20"/>
          <w:szCs w:val="20"/>
        </w:rPr>
        <w:t xml:space="preserve">Bull </w:t>
      </w:r>
      <w:proofErr w:type="spellStart"/>
      <w:r>
        <w:rPr>
          <w:rStyle w:val="Accentuation"/>
          <w:rFonts w:eastAsia="Segoe UI"/>
          <w:i w:val="0"/>
          <w:iCs w:val="0"/>
          <w:sz w:val="20"/>
          <w:szCs w:val="20"/>
        </w:rPr>
        <w:t>Acad</w:t>
      </w:r>
      <w:proofErr w:type="spellEnd"/>
      <w:r>
        <w:rPr>
          <w:rStyle w:val="Accentuation"/>
          <w:rFonts w:eastAsia="Segoe UI"/>
          <w:i w:val="0"/>
          <w:iCs w:val="0"/>
          <w:sz w:val="20"/>
          <w:szCs w:val="20"/>
        </w:rPr>
        <w:t xml:space="preserve"> </w:t>
      </w:r>
      <w:proofErr w:type="spellStart"/>
      <w:r>
        <w:rPr>
          <w:rStyle w:val="Accentuation"/>
          <w:rFonts w:eastAsia="Segoe UI"/>
          <w:i w:val="0"/>
          <w:iCs w:val="0"/>
          <w:sz w:val="20"/>
          <w:szCs w:val="20"/>
        </w:rPr>
        <w:t>Natl</w:t>
      </w:r>
      <w:proofErr w:type="spellEnd"/>
      <w:r>
        <w:rPr>
          <w:rStyle w:val="Accentuation"/>
          <w:rFonts w:eastAsia="Segoe UI"/>
          <w:i w:val="0"/>
          <w:iCs w:val="0"/>
          <w:sz w:val="20"/>
          <w:szCs w:val="20"/>
        </w:rPr>
        <w:t xml:space="preserve"> Med</w:t>
      </w:r>
      <w:r>
        <w:rPr>
          <w:rFonts w:eastAsia="Segoe UI"/>
          <w:sz w:val="20"/>
          <w:szCs w:val="20"/>
        </w:rPr>
        <w:t xml:space="preserve">. </w:t>
      </w:r>
      <w:proofErr w:type="gramStart"/>
      <w:r>
        <w:rPr>
          <w:rFonts w:eastAsia="Segoe UI"/>
          <w:sz w:val="20"/>
          <w:szCs w:val="20"/>
        </w:rPr>
        <w:t>2011;</w:t>
      </w:r>
      <w:proofErr w:type="gramEnd"/>
      <w:r>
        <w:rPr>
          <w:rFonts w:eastAsia="Segoe UI"/>
          <w:sz w:val="20"/>
          <w:szCs w:val="20"/>
        </w:rPr>
        <w:t>195(6):1255-68.</w:t>
      </w:r>
    </w:p>
    <w:p w:rsidR="005F20FC" w:rsidRDefault="00191971">
      <w:pPr>
        <w:pStyle w:val="NormalWeb"/>
        <w:numPr>
          <w:ilvl w:val="0"/>
          <w:numId w:val="4"/>
        </w:numPr>
        <w:shd w:val="clear" w:color="auto" w:fill="FFFFFF"/>
        <w:spacing w:before="0" w:beforeAutospacing="0" w:after="0" w:afterAutospacing="0"/>
        <w:jc w:val="both"/>
        <w:rPr>
          <w:sz w:val="20"/>
          <w:szCs w:val="20"/>
        </w:rPr>
      </w:pPr>
      <w:r>
        <w:rPr>
          <w:rFonts w:eastAsia="Segoe UI"/>
          <w:sz w:val="20"/>
          <w:szCs w:val="20"/>
          <w:lang w:val="en-US"/>
        </w:rPr>
        <w:t xml:space="preserve">Sharma S, Hashmi MF, Kumar A. Intracranial Hypertension. In: </w:t>
      </w:r>
      <w:proofErr w:type="spellStart"/>
      <w:r>
        <w:rPr>
          <w:rFonts w:eastAsia="Segoe UI"/>
          <w:sz w:val="20"/>
          <w:szCs w:val="20"/>
          <w:lang w:val="en-US"/>
        </w:rPr>
        <w:t>StatPearls</w:t>
      </w:r>
      <w:proofErr w:type="spellEnd"/>
      <w:r>
        <w:rPr>
          <w:rFonts w:eastAsia="Segoe UI"/>
          <w:sz w:val="20"/>
          <w:szCs w:val="20"/>
          <w:lang w:val="en-US"/>
        </w:rPr>
        <w:t xml:space="preserve"> [Internet]. Treasure Island (FL): </w:t>
      </w:r>
      <w:proofErr w:type="spellStart"/>
      <w:r>
        <w:rPr>
          <w:rFonts w:eastAsia="Segoe UI"/>
          <w:sz w:val="20"/>
          <w:szCs w:val="20"/>
          <w:lang w:val="en-US"/>
        </w:rPr>
        <w:t>StatPearls</w:t>
      </w:r>
      <w:proofErr w:type="spellEnd"/>
      <w:r>
        <w:rPr>
          <w:rFonts w:eastAsia="Segoe UI"/>
          <w:sz w:val="20"/>
          <w:szCs w:val="20"/>
          <w:lang w:val="en-US"/>
        </w:rPr>
        <w:t xml:space="preserve"> Publishing; 2023. </w:t>
      </w:r>
      <w:proofErr w:type="spellStart"/>
      <w:r>
        <w:rPr>
          <w:rFonts w:eastAsia="Segoe UI"/>
          <w:sz w:val="20"/>
          <w:szCs w:val="20"/>
        </w:rPr>
        <w:t>Disponiblesur</w:t>
      </w:r>
      <w:proofErr w:type="spellEnd"/>
      <w:r>
        <w:rPr>
          <w:rFonts w:eastAsia="Segoe UI"/>
          <w:sz w:val="20"/>
          <w:szCs w:val="20"/>
        </w:rPr>
        <w:t xml:space="preserve"> : </w:t>
      </w:r>
      <w:hyperlink r:id="rId14" w:tgtFrame="https://chat.deepseek.com/a/chat/s/_blank" w:history="1">
        <w:r>
          <w:rPr>
            <w:rStyle w:val="Lienhypertexte"/>
            <w:rFonts w:eastAsia="Segoe UI"/>
            <w:color w:val="auto"/>
            <w:sz w:val="20"/>
            <w:szCs w:val="20"/>
            <w:u w:val="none"/>
          </w:rPr>
          <w:t>https://www.ncbi.nlm.nih.gov/books/NBK507811/</w:t>
        </w:r>
      </w:hyperlink>
    </w:p>
    <w:p w:rsidR="005F20FC" w:rsidRDefault="00191971">
      <w:pPr>
        <w:pStyle w:val="NormalWeb"/>
        <w:numPr>
          <w:ilvl w:val="0"/>
          <w:numId w:val="4"/>
        </w:numPr>
        <w:shd w:val="clear" w:color="auto" w:fill="FFFFFF"/>
        <w:spacing w:before="0" w:beforeAutospacing="0" w:after="0" w:afterAutospacing="0"/>
        <w:jc w:val="both"/>
        <w:rPr>
          <w:sz w:val="20"/>
          <w:szCs w:val="20"/>
          <w:lang w:val="en-US"/>
        </w:rPr>
      </w:pPr>
      <w:proofErr w:type="spellStart"/>
      <w:r>
        <w:rPr>
          <w:rFonts w:eastAsia="Segoe UI"/>
          <w:sz w:val="20"/>
          <w:szCs w:val="20"/>
          <w:lang w:val="en-US"/>
        </w:rPr>
        <w:t>Mahapatra</w:t>
      </w:r>
      <w:proofErr w:type="spellEnd"/>
      <w:r>
        <w:rPr>
          <w:rFonts w:eastAsia="Segoe UI"/>
          <w:sz w:val="20"/>
          <w:szCs w:val="20"/>
          <w:lang w:val="en-US"/>
        </w:rPr>
        <w:t xml:space="preserve"> S, Heffner AC. Septic Shock. In: </w:t>
      </w:r>
      <w:proofErr w:type="spellStart"/>
      <w:r>
        <w:rPr>
          <w:rFonts w:eastAsia="Segoe UI"/>
          <w:sz w:val="20"/>
          <w:szCs w:val="20"/>
          <w:lang w:val="en-US"/>
        </w:rPr>
        <w:t>StatPearls</w:t>
      </w:r>
      <w:proofErr w:type="spellEnd"/>
      <w:r>
        <w:rPr>
          <w:rFonts w:eastAsia="Segoe UI"/>
          <w:sz w:val="20"/>
          <w:szCs w:val="20"/>
          <w:lang w:val="en-US"/>
        </w:rPr>
        <w:t xml:space="preserve"> [Internet]. Treasure Island (FL): </w:t>
      </w:r>
      <w:proofErr w:type="spellStart"/>
      <w:r>
        <w:rPr>
          <w:rFonts w:eastAsia="Segoe UI"/>
          <w:sz w:val="20"/>
          <w:szCs w:val="20"/>
          <w:lang w:val="en-US"/>
        </w:rPr>
        <w:t>StatPearls</w:t>
      </w:r>
      <w:proofErr w:type="spellEnd"/>
      <w:r>
        <w:rPr>
          <w:rFonts w:eastAsia="Segoe UI"/>
          <w:sz w:val="20"/>
          <w:szCs w:val="20"/>
          <w:lang w:val="en-US"/>
        </w:rPr>
        <w:t xml:space="preserve"> Publishing; 2023. </w:t>
      </w:r>
      <w:r>
        <w:rPr>
          <w:rFonts w:eastAsia="Segoe UI"/>
          <w:sz w:val="20"/>
          <w:szCs w:val="20"/>
        </w:rPr>
        <w:t>Disponible sur : </w:t>
      </w:r>
      <w:hyperlink r:id="rId15" w:tgtFrame="https://chat.deepseek.com/a/chat/s/_blank" w:history="1">
        <w:r>
          <w:rPr>
            <w:rStyle w:val="Lienhypertexte"/>
            <w:rFonts w:eastAsia="Segoe UI"/>
            <w:color w:val="auto"/>
            <w:sz w:val="20"/>
            <w:szCs w:val="20"/>
            <w:u w:val="none"/>
          </w:rPr>
          <w:t>https://www.ncbi.nlm.nih.gov/books/NBK430939/</w:t>
        </w:r>
      </w:hyperlink>
    </w:p>
    <w:p w:rsidR="005F20FC" w:rsidRDefault="00191971">
      <w:pPr>
        <w:pStyle w:val="NormalWeb"/>
        <w:numPr>
          <w:ilvl w:val="0"/>
          <w:numId w:val="4"/>
        </w:numPr>
        <w:shd w:val="clear" w:color="auto" w:fill="FFFFFF"/>
        <w:spacing w:before="0" w:beforeAutospacing="0" w:after="0" w:afterAutospacing="0"/>
        <w:jc w:val="both"/>
        <w:rPr>
          <w:rFonts w:eastAsia="Calibri"/>
          <w:sz w:val="20"/>
          <w:szCs w:val="20"/>
          <w:lang w:val="en-US" w:eastAsia="fr-FR"/>
        </w:rPr>
      </w:pPr>
      <w:proofErr w:type="spellStart"/>
      <w:r>
        <w:rPr>
          <w:rFonts w:eastAsia="Segoe UI"/>
          <w:sz w:val="20"/>
          <w:szCs w:val="20"/>
          <w:lang w:val="en-US"/>
        </w:rPr>
        <w:t>Sichev</w:t>
      </w:r>
      <w:proofErr w:type="spellEnd"/>
      <w:r>
        <w:rPr>
          <w:rFonts w:eastAsia="Segoe UI"/>
          <w:sz w:val="20"/>
          <w:szCs w:val="20"/>
          <w:lang w:val="en-US"/>
        </w:rPr>
        <w:t xml:space="preserve"> AA, </w:t>
      </w:r>
      <w:proofErr w:type="spellStart"/>
      <w:r>
        <w:rPr>
          <w:rFonts w:eastAsia="Segoe UI"/>
          <w:sz w:val="20"/>
          <w:szCs w:val="20"/>
          <w:lang w:val="en-US"/>
        </w:rPr>
        <w:t>Tabasaransky</w:t>
      </w:r>
      <w:proofErr w:type="spellEnd"/>
      <w:r>
        <w:rPr>
          <w:rFonts w:eastAsia="Segoe UI"/>
          <w:sz w:val="20"/>
          <w:szCs w:val="20"/>
          <w:lang w:val="en-US"/>
        </w:rPr>
        <w:t xml:space="preserve"> TO, </w:t>
      </w:r>
      <w:proofErr w:type="spellStart"/>
      <w:r>
        <w:rPr>
          <w:rFonts w:eastAsia="Segoe UI"/>
          <w:sz w:val="20"/>
          <w:szCs w:val="20"/>
          <w:lang w:val="en-US"/>
        </w:rPr>
        <w:t>Savin</w:t>
      </w:r>
      <w:proofErr w:type="spellEnd"/>
      <w:r>
        <w:rPr>
          <w:rFonts w:eastAsia="Segoe UI"/>
          <w:sz w:val="20"/>
          <w:szCs w:val="20"/>
          <w:lang w:val="en-US"/>
        </w:rPr>
        <w:t xml:space="preserve"> IA, </w:t>
      </w:r>
      <w:proofErr w:type="spellStart"/>
      <w:r>
        <w:rPr>
          <w:rFonts w:eastAsia="Segoe UI"/>
          <w:sz w:val="20"/>
          <w:szCs w:val="20"/>
          <w:lang w:val="en-US"/>
        </w:rPr>
        <w:t>Gorachev</w:t>
      </w:r>
      <w:proofErr w:type="spellEnd"/>
      <w:r>
        <w:rPr>
          <w:rFonts w:eastAsia="Segoe UI"/>
          <w:sz w:val="20"/>
          <w:szCs w:val="20"/>
          <w:lang w:val="en-US"/>
        </w:rPr>
        <w:t xml:space="preserve"> AS, </w:t>
      </w:r>
      <w:proofErr w:type="spellStart"/>
      <w:r>
        <w:rPr>
          <w:rFonts w:eastAsia="Segoe UI"/>
          <w:sz w:val="20"/>
          <w:szCs w:val="20"/>
          <w:lang w:val="en-US"/>
        </w:rPr>
        <w:t>Tenedieva</w:t>
      </w:r>
      <w:proofErr w:type="spellEnd"/>
      <w:r>
        <w:rPr>
          <w:rFonts w:eastAsia="Segoe UI"/>
          <w:sz w:val="20"/>
          <w:szCs w:val="20"/>
          <w:lang w:val="en-US"/>
        </w:rPr>
        <w:t xml:space="preserve"> VD, Abramov TA, et al. Septic shock in patient with severe head trauma. </w:t>
      </w:r>
      <w:proofErr w:type="spellStart"/>
      <w:r>
        <w:rPr>
          <w:rStyle w:val="Accentuation"/>
          <w:rFonts w:eastAsia="Segoe UI"/>
          <w:i w:val="0"/>
          <w:iCs w:val="0"/>
          <w:sz w:val="20"/>
          <w:szCs w:val="20"/>
          <w:lang w:val="en-US"/>
        </w:rPr>
        <w:t>Anesteziol</w:t>
      </w:r>
      <w:proofErr w:type="spellEnd"/>
      <w:r>
        <w:rPr>
          <w:rStyle w:val="Accentuation"/>
          <w:rFonts w:eastAsia="Segoe UI"/>
          <w:i w:val="0"/>
          <w:iCs w:val="0"/>
          <w:sz w:val="20"/>
          <w:szCs w:val="20"/>
          <w:lang w:val="en-US"/>
        </w:rPr>
        <w:t xml:space="preserve"> </w:t>
      </w:r>
      <w:proofErr w:type="spellStart"/>
      <w:r>
        <w:rPr>
          <w:rStyle w:val="Accentuation"/>
          <w:rFonts w:eastAsia="Segoe UI"/>
          <w:i w:val="0"/>
          <w:iCs w:val="0"/>
          <w:sz w:val="20"/>
          <w:szCs w:val="20"/>
          <w:lang w:val="en-US"/>
        </w:rPr>
        <w:t>Reanimatol</w:t>
      </w:r>
      <w:proofErr w:type="spellEnd"/>
      <w:r>
        <w:rPr>
          <w:rFonts w:eastAsia="Segoe UI"/>
          <w:sz w:val="20"/>
          <w:szCs w:val="20"/>
          <w:lang w:val="en-US"/>
        </w:rPr>
        <w:t>. 2015;60(4):65-9.</w:t>
      </w:r>
    </w:p>
    <w:p w:rsidR="005F20FC" w:rsidRDefault="00191971">
      <w:pPr>
        <w:pStyle w:val="NormalWeb"/>
        <w:numPr>
          <w:ilvl w:val="0"/>
          <w:numId w:val="4"/>
        </w:numPr>
        <w:shd w:val="clear" w:color="auto" w:fill="FFFFFF"/>
        <w:spacing w:before="0" w:beforeAutospacing="0" w:after="0" w:afterAutospacing="0"/>
        <w:jc w:val="both"/>
        <w:rPr>
          <w:rFonts w:eastAsia="Calibri"/>
          <w:sz w:val="20"/>
          <w:szCs w:val="20"/>
          <w:lang w:eastAsia="fr-FR"/>
        </w:rPr>
      </w:pPr>
      <w:proofErr w:type="spellStart"/>
      <w:r>
        <w:rPr>
          <w:rFonts w:eastAsia="Segoe UI"/>
          <w:sz w:val="20"/>
          <w:szCs w:val="20"/>
          <w:lang w:val="en-US"/>
        </w:rPr>
        <w:t>Haouzi</w:t>
      </w:r>
      <w:proofErr w:type="spellEnd"/>
      <w:r>
        <w:rPr>
          <w:rFonts w:eastAsia="Segoe UI"/>
          <w:sz w:val="20"/>
          <w:szCs w:val="20"/>
          <w:lang w:val="en-US"/>
        </w:rPr>
        <w:t xml:space="preserve"> P, </w:t>
      </w:r>
      <w:proofErr w:type="spellStart"/>
      <w:r>
        <w:rPr>
          <w:rFonts w:eastAsia="Segoe UI"/>
          <w:sz w:val="20"/>
          <w:szCs w:val="20"/>
          <w:lang w:val="en-US"/>
        </w:rPr>
        <w:t>Chenuel</w:t>
      </w:r>
      <w:proofErr w:type="spellEnd"/>
      <w:r>
        <w:rPr>
          <w:rFonts w:eastAsia="Segoe UI"/>
          <w:sz w:val="20"/>
          <w:szCs w:val="20"/>
          <w:lang w:val="en-US"/>
        </w:rPr>
        <w:t xml:space="preserve"> B, </w:t>
      </w:r>
      <w:proofErr w:type="spellStart"/>
      <w:r>
        <w:rPr>
          <w:rFonts w:eastAsia="Segoe UI"/>
          <w:sz w:val="20"/>
          <w:szCs w:val="20"/>
          <w:lang w:val="en-US"/>
        </w:rPr>
        <w:t>Barroche</w:t>
      </w:r>
      <w:proofErr w:type="spellEnd"/>
      <w:r>
        <w:rPr>
          <w:rFonts w:eastAsia="Segoe UI"/>
          <w:sz w:val="20"/>
          <w:szCs w:val="20"/>
          <w:lang w:val="en-US"/>
        </w:rPr>
        <w:t xml:space="preserve"> G. Interactions between volitional and automatic breathing during respiratory apraxia. </w:t>
      </w:r>
      <w:proofErr w:type="spellStart"/>
      <w:r>
        <w:rPr>
          <w:rStyle w:val="Accentuation"/>
          <w:rFonts w:eastAsia="Segoe UI"/>
          <w:i w:val="0"/>
          <w:iCs w:val="0"/>
          <w:sz w:val="20"/>
          <w:szCs w:val="20"/>
        </w:rPr>
        <w:t>Respir</w:t>
      </w:r>
      <w:proofErr w:type="spellEnd"/>
      <w:r>
        <w:rPr>
          <w:rStyle w:val="Accentuation"/>
          <w:rFonts w:eastAsia="Segoe UI"/>
          <w:i w:val="0"/>
          <w:iCs w:val="0"/>
          <w:sz w:val="20"/>
          <w:szCs w:val="20"/>
        </w:rPr>
        <w:t xml:space="preserve"> </w:t>
      </w:r>
      <w:proofErr w:type="spellStart"/>
      <w:r>
        <w:rPr>
          <w:rStyle w:val="Accentuation"/>
          <w:rFonts w:eastAsia="Segoe UI"/>
          <w:i w:val="0"/>
          <w:iCs w:val="0"/>
          <w:sz w:val="20"/>
          <w:szCs w:val="20"/>
        </w:rPr>
        <w:t>Physiol</w:t>
      </w:r>
      <w:proofErr w:type="spellEnd"/>
      <w:r>
        <w:rPr>
          <w:rStyle w:val="Accentuation"/>
          <w:rFonts w:eastAsia="Segoe UI"/>
          <w:i w:val="0"/>
          <w:iCs w:val="0"/>
          <w:sz w:val="20"/>
          <w:szCs w:val="20"/>
        </w:rPr>
        <w:t xml:space="preserve"> </w:t>
      </w:r>
      <w:proofErr w:type="spellStart"/>
      <w:r>
        <w:rPr>
          <w:rStyle w:val="Accentuation"/>
          <w:rFonts w:eastAsia="Segoe UI"/>
          <w:i w:val="0"/>
          <w:iCs w:val="0"/>
          <w:sz w:val="20"/>
          <w:szCs w:val="20"/>
        </w:rPr>
        <w:t>Neurobiol</w:t>
      </w:r>
      <w:proofErr w:type="spellEnd"/>
      <w:r>
        <w:rPr>
          <w:rFonts w:eastAsia="Segoe UI"/>
          <w:sz w:val="20"/>
          <w:szCs w:val="20"/>
        </w:rPr>
        <w:t xml:space="preserve">. </w:t>
      </w:r>
      <w:proofErr w:type="gramStart"/>
      <w:r>
        <w:rPr>
          <w:rFonts w:eastAsia="Segoe UI"/>
          <w:sz w:val="20"/>
          <w:szCs w:val="20"/>
        </w:rPr>
        <w:t>2006;</w:t>
      </w:r>
      <w:proofErr w:type="gramEnd"/>
      <w:r>
        <w:rPr>
          <w:rFonts w:eastAsia="Segoe UI"/>
          <w:sz w:val="20"/>
          <w:szCs w:val="20"/>
        </w:rPr>
        <w:t>152(2):169-75.</w:t>
      </w:r>
    </w:p>
    <w:p w:rsidR="005F20FC" w:rsidRDefault="00191971">
      <w:pPr>
        <w:pStyle w:val="NormalWeb"/>
        <w:numPr>
          <w:ilvl w:val="0"/>
          <w:numId w:val="4"/>
        </w:numPr>
        <w:shd w:val="clear" w:color="auto" w:fill="FFFFFF"/>
        <w:spacing w:before="0" w:beforeAutospacing="0" w:after="0" w:afterAutospacing="0"/>
        <w:jc w:val="both"/>
        <w:rPr>
          <w:rFonts w:eastAsia="Calibri"/>
          <w:b/>
          <w:bCs/>
          <w:sz w:val="20"/>
          <w:szCs w:val="20"/>
          <w:lang w:val="en-US" w:eastAsia="fr-FR"/>
        </w:rPr>
      </w:pPr>
      <w:proofErr w:type="spellStart"/>
      <w:r>
        <w:rPr>
          <w:rFonts w:eastAsia="Segoe UI"/>
          <w:sz w:val="20"/>
          <w:szCs w:val="20"/>
          <w:lang w:val="en-US"/>
        </w:rPr>
        <w:t>Deibener-Kaminsky</w:t>
      </w:r>
      <w:proofErr w:type="spellEnd"/>
      <w:r>
        <w:rPr>
          <w:rFonts w:eastAsia="Segoe UI"/>
          <w:sz w:val="20"/>
          <w:szCs w:val="20"/>
          <w:lang w:val="en-US"/>
        </w:rPr>
        <w:t xml:space="preserve"> J, </w:t>
      </w:r>
      <w:proofErr w:type="spellStart"/>
      <w:r>
        <w:rPr>
          <w:rFonts w:eastAsia="Segoe UI"/>
          <w:sz w:val="20"/>
          <w:szCs w:val="20"/>
          <w:lang w:val="en-US"/>
        </w:rPr>
        <w:t>Lesesve</w:t>
      </w:r>
      <w:proofErr w:type="spellEnd"/>
      <w:r>
        <w:rPr>
          <w:rFonts w:eastAsia="Segoe UI"/>
          <w:sz w:val="20"/>
          <w:szCs w:val="20"/>
          <w:lang w:val="en-US"/>
        </w:rPr>
        <w:t xml:space="preserve"> JF, </w:t>
      </w:r>
      <w:proofErr w:type="spellStart"/>
      <w:r>
        <w:rPr>
          <w:rFonts w:eastAsia="Segoe UI"/>
          <w:sz w:val="20"/>
          <w:szCs w:val="20"/>
          <w:lang w:val="en-US"/>
        </w:rPr>
        <w:t>Grosset</w:t>
      </w:r>
      <w:proofErr w:type="spellEnd"/>
      <w:r>
        <w:rPr>
          <w:rFonts w:eastAsia="Segoe UI"/>
          <w:sz w:val="20"/>
          <w:szCs w:val="20"/>
          <w:lang w:val="en-US"/>
        </w:rPr>
        <w:t xml:space="preserve"> S, </w:t>
      </w:r>
      <w:proofErr w:type="spellStart"/>
      <w:r>
        <w:rPr>
          <w:rFonts w:eastAsia="Segoe UI"/>
          <w:sz w:val="20"/>
          <w:szCs w:val="20"/>
          <w:lang w:val="en-US"/>
        </w:rPr>
        <w:t>Pruna</w:t>
      </w:r>
      <w:proofErr w:type="spellEnd"/>
      <w:r>
        <w:rPr>
          <w:rFonts w:eastAsia="Segoe UI"/>
          <w:sz w:val="20"/>
          <w:szCs w:val="20"/>
          <w:lang w:val="en-US"/>
        </w:rPr>
        <w:t xml:space="preserve"> L, </w:t>
      </w:r>
      <w:proofErr w:type="spellStart"/>
      <w:r>
        <w:rPr>
          <w:rFonts w:eastAsia="Segoe UI"/>
          <w:sz w:val="20"/>
          <w:szCs w:val="20"/>
          <w:lang w:val="en-US"/>
        </w:rPr>
        <w:t>Schmall-Laurain</w:t>
      </w:r>
      <w:proofErr w:type="spellEnd"/>
      <w:r>
        <w:rPr>
          <w:rFonts w:eastAsia="Segoe UI"/>
          <w:sz w:val="20"/>
          <w:szCs w:val="20"/>
          <w:lang w:val="en-US"/>
        </w:rPr>
        <w:t xml:space="preserve"> MC, </w:t>
      </w:r>
      <w:proofErr w:type="spellStart"/>
      <w:r>
        <w:rPr>
          <w:rFonts w:eastAsia="Segoe UI"/>
          <w:sz w:val="20"/>
          <w:szCs w:val="20"/>
          <w:lang w:val="en-US"/>
        </w:rPr>
        <w:t>Benetos</w:t>
      </w:r>
      <w:proofErr w:type="spellEnd"/>
      <w:r>
        <w:rPr>
          <w:rFonts w:eastAsia="Segoe UI"/>
          <w:sz w:val="20"/>
          <w:szCs w:val="20"/>
          <w:lang w:val="en-US"/>
        </w:rPr>
        <w:t xml:space="preserve"> A, et al. </w:t>
      </w:r>
      <w:r>
        <w:rPr>
          <w:rFonts w:eastAsia="Segoe UI"/>
          <w:sz w:val="20"/>
          <w:szCs w:val="20"/>
        </w:rPr>
        <w:t>Signification d'une hyperleucocytose marquée et de la formule sanguine dans les situations d'urgence. </w:t>
      </w:r>
      <w:proofErr w:type="spellStart"/>
      <w:r>
        <w:rPr>
          <w:rStyle w:val="Accentuation"/>
          <w:rFonts w:eastAsia="Segoe UI"/>
          <w:i w:val="0"/>
          <w:iCs w:val="0"/>
          <w:sz w:val="20"/>
          <w:szCs w:val="20"/>
        </w:rPr>
        <w:t>Rev</w:t>
      </w:r>
      <w:proofErr w:type="spellEnd"/>
      <w:r>
        <w:rPr>
          <w:rStyle w:val="Accentuation"/>
          <w:rFonts w:eastAsia="Segoe UI"/>
          <w:i w:val="0"/>
          <w:iCs w:val="0"/>
          <w:sz w:val="20"/>
          <w:szCs w:val="20"/>
        </w:rPr>
        <w:t xml:space="preserve"> Med Interne</w:t>
      </w:r>
      <w:r>
        <w:rPr>
          <w:rFonts w:eastAsia="Segoe UI"/>
          <w:sz w:val="20"/>
          <w:szCs w:val="20"/>
        </w:rPr>
        <w:t xml:space="preserve">. </w:t>
      </w:r>
      <w:proofErr w:type="gramStart"/>
      <w:r>
        <w:rPr>
          <w:rFonts w:eastAsia="Segoe UI"/>
          <w:sz w:val="20"/>
          <w:szCs w:val="20"/>
        </w:rPr>
        <w:t>2011;</w:t>
      </w:r>
      <w:proofErr w:type="gramEnd"/>
      <w:r>
        <w:rPr>
          <w:rFonts w:eastAsia="Segoe UI"/>
          <w:sz w:val="20"/>
          <w:szCs w:val="20"/>
        </w:rPr>
        <w:t>32(7):406-10.</w:t>
      </w:r>
    </w:p>
    <w:p w:rsidR="005F20FC" w:rsidRDefault="00191971">
      <w:pPr>
        <w:pStyle w:val="NormalWeb"/>
        <w:numPr>
          <w:ilvl w:val="0"/>
          <w:numId w:val="4"/>
        </w:numPr>
        <w:shd w:val="clear" w:color="auto" w:fill="FFFFFF"/>
        <w:spacing w:before="0" w:beforeAutospacing="0" w:after="0" w:afterAutospacing="0"/>
        <w:jc w:val="both"/>
        <w:rPr>
          <w:rFonts w:eastAsia="Calibri"/>
          <w:b/>
          <w:bCs/>
          <w:sz w:val="20"/>
          <w:szCs w:val="20"/>
          <w:lang w:val="en-US" w:eastAsia="fr-FR"/>
        </w:rPr>
      </w:pPr>
      <w:proofErr w:type="spellStart"/>
      <w:r>
        <w:rPr>
          <w:rFonts w:eastAsia="Segoe UI"/>
          <w:sz w:val="20"/>
          <w:szCs w:val="20"/>
        </w:rPr>
        <w:t>Chemchik</w:t>
      </w:r>
      <w:proofErr w:type="spellEnd"/>
      <w:r>
        <w:rPr>
          <w:rFonts w:eastAsia="Segoe UI"/>
          <w:sz w:val="20"/>
          <w:szCs w:val="20"/>
        </w:rPr>
        <w:t xml:space="preserve"> H, Hadj B, </w:t>
      </w:r>
      <w:proofErr w:type="spellStart"/>
      <w:r>
        <w:rPr>
          <w:rFonts w:eastAsia="Segoe UI"/>
          <w:sz w:val="20"/>
          <w:szCs w:val="20"/>
        </w:rPr>
        <w:t>Naija</w:t>
      </w:r>
      <w:proofErr w:type="spellEnd"/>
      <w:r>
        <w:rPr>
          <w:rFonts w:eastAsia="Segoe UI"/>
          <w:sz w:val="20"/>
          <w:szCs w:val="20"/>
        </w:rPr>
        <w:t xml:space="preserve"> W, </w:t>
      </w:r>
      <w:proofErr w:type="spellStart"/>
      <w:r>
        <w:rPr>
          <w:rFonts w:eastAsia="Segoe UI"/>
          <w:sz w:val="20"/>
          <w:szCs w:val="20"/>
        </w:rPr>
        <w:t>Souii</w:t>
      </w:r>
      <w:proofErr w:type="spellEnd"/>
      <w:r>
        <w:rPr>
          <w:rFonts w:eastAsia="Segoe UI"/>
          <w:sz w:val="20"/>
          <w:szCs w:val="20"/>
        </w:rPr>
        <w:t xml:space="preserve"> S, Aissaoui N, </w:t>
      </w:r>
      <w:proofErr w:type="spellStart"/>
      <w:r>
        <w:rPr>
          <w:rFonts w:eastAsia="Segoe UI"/>
          <w:sz w:val="20"/>
          <w:szCs w:val="20"/>
        </w:rPr>
        <w:t>Bouzouita</w:t>
      </w:r>
      <w:proofErr w:type="spellEnd"/>
      <w:r>
        <w:rPr>
          <w:rFonts w:eastAsia="Segoe UI"/>
          <w:sz w:val="20"/>
          <w:szCs w:val="20"/>
        </w:rPr>
        <w:t xml:space="preserve"> O, et al. Hyponatrémie en réanimation. </w:t>
      </w:r>
      <w:proofErr w:type="spellStart"/>
      <w:r>
        <w:rPr>
          <w:rStyle w:val="Accentuation"/>
          <w:rFonts w:eastAsia="Segoe UI"/>
          <w:i w:val="0"/>
          <w:iCs w:val="0"/>
          <w:sz w:val="20"/>
          <w:szCs w:val="20"/>
        </w:rPr>
        <w:t>Rev</w:t>
      </w:r>
      <w:proofErr w:type="spellEnd"/>
      <w:r>
        <w:rPr>
          <w:rStyle w:val="Accentuation"/>
          <w:rFonts w:eastAsia="Segoe UI"/>
          <w:i w:val="0"/>
          <w:iCs w:val="0"/>
          <w:sz w:val="20"/>
          <w:szCs w:val="20"/>
        </w:rPr>
        <w:t xml:space="preserve"> </w:t>
      </w:r>
      <w:proofErr w:type="spellStart"/>
      <w:r>
        <w:rPr>
          <w:rStyle w:val="Accentuation"/>
          <w:rFonts w:eastAsia="Segoe UI"/>
          <w:i w:val="0"/>
          <w:iCs w:val="0"/>
          <w:sz w:val="20"/>
          <w:szCs w:val="20"/>
        </w:rPr>
        <w:t>Anesth</w:t>
      </w:r>
      <w:proofErr w:type="spellEnd"/>
      <w:r>
        <w:rPr>
          <w:rStyle w:val="Accentuation"/>
          <w:rFonts w:eastAsia="Segoe UI"/>
          <w:i w:val="0"/>
          <w:iCs w:val="0"/>
          <w:sz w:val="20"/>
          <w:szCs w:val="20"/>
        </w:rPr>
        <w:t xml:space="preserve"> </w:t>
      </w:r>
      <w:proofErr w:type="spellStart"/>
      <w:r>
        <w:rPr>
          <w:rStyle w:val="Accentuation"/>
          <w:rFonts w:eastAsia="Segoe UI"/>
          <w:i w:val="0"/>
          <w:iCs w:val="0"/>
          <w:sz w:val="20"/>
          <w:szCs w:val="20"/>
        </w:rPr>
        <w:t>Réanim</w:t>
      </w:r>
      <w:proofErr w:type="spellEnd"/>
      <w:r>
        <w:rPr>
          <w:rStyle w:val="Accentuation"/>
          <w:rFonts w:eastAsia="Segoe UI"/>
          <w:i w:val="0"/>
          <w:iCs w:val="0"/>
          <w:sz w:val="20"/>
          <w:szCs w:val="20"/>
        </w:rPr>
        <w:t xml:space="preserve"> </w:t>
      </w:r>
      <w:proofErr w:type="spellStart"/>
      <w:r>
        <w:rPr>
          <w:rStyle w:val="Accentuation"/>
          <w:rFonts w:eastAsia="Segoe UI"/>
          <w:i w:val="0"/>
          <w:iCs w:val="0"/>
          <w:sz w:val="20"/>
          <w:szCs w:val="20"/>
        </w:rPr>
        <w:t>Méd</w:t>
      </w:r>
      <w:proofErr w:type="spellEnd"/>
      <w:r>
        <w:rPr>
          <w:rStyle w:val="Accentuation"/>
          <w:rFonts w:eastAsia="Segoe UI"/>
          <w:i w:val="0"/>
          <w:iCs w:val="0"/>
          <w:sz w:val="20"/>
          <w:szCs w:val="20"/>
        </w:rPr>
        <w:t xml:space="preserve"> </w:t>
      </w:r>
      <w:proofErr w:type="spellStart"/>
      <w:r>
        <w:rPr>
          <w:rStyle w:val="Accentuation"/>
          <w:rFonts w:eastAsia="Segoe UI"/>
          <w:i w:val="0"/>
          <w:iCs w:val="0"/>
          <w:sz w:val="20"/>
          <w:szCs w:val="20"/>
        </w:rPr>
        <w:t>Urg</w:t>
      </w:r>
      <w:proofErr w:type="spellEnd"/>
      <w:r>
        <w:rPr>
          <w:rFonts w:eastAsia="Segoe UI"/>
          <w:sz w:val="20"/>
          <w:szCs w:val="20"/>
        </w:rPr>
        <w:t xml:space="preserve">. </w:t>
      </w:r>
      <w:proofErr w:type="gramStart"/>
      <w:r>
        <w:rPr>
          <w:rFonts w:eastAsia="Segoe UI"/>
          <w:sz w:val="20"/>
          <w:szCs w:val="20"/>
        </w:rPr>
        <w:t>2011;</w:t>
      </w:r>
      <w:proofErr w:type="gramEnd"/>
      <w:r>
        <w:rPr>
          <w:rFonts w:eastAsia="Segoe UI"/>
          <w:sz w:val="20"/>
          <w:szCs w:val="20"/>
        </w:rPr>
        <w:t>3(1):1-7.</w:t>
      </w:r>
    </w:p>
    <w:p w:rsidR="005F20FC" w:rsidRDefault="00191971">
      <w:pPr>
        <w:pStyle w:val="NormalWeb"/>
        <w:numPr>
          <w:ilvl w:val="0"/>
          <w:numId w:val="4"/>
        </w:numPr>
        <w:shd w:val="clear" w:color="auto" w:fill="FFFFFF"/>
        <w:spacing w:before="0" w:beforeAutospacing="0" w:after="0" w:afterAutospacing="0"/>
        <w:jc w:val="both"/>
        <w:rPr>
          <w:rFonts w:eastAsia="Calibri"/>
          <w:b/>
          <w:bCs/>
          <w:sz w:val="20"/>
          <w:szCs w:val="20"/>
          <w:lang w:val="en-US" w:eastAsia="fr-FR"/>
        </w:rPr>
      </w:pPr>
      <w:proofErr w:type="spellStart"/>
      <w:r>
        <w:rPr>
          <w:rFonts w:eastAsia="Segoe UI"/>
          <w:sz w:val="20"/>
          <w:szCs w:val="20"/>
        </w:rPr>
        <w:t>Harboun</w:t>
      </w:r>
      <w:proofErr w:type="spellEnd"/>
      <w:r>
        <w:rPr>
          <w:rFonts w:eastAsia="Segoe UI"/>
          <w:sz w:val="20"/>
          <w:szCs w:val="20"/>
        </w:rPr>
        <w:t xml:space="preserve"> M. Épidémiologie des comorbidités chez les personnes âgées. </w:t>
      </w:r>
      <w:r>
        <w:rPr>
          <w:rStyle w:val="Accentuation"/>
          <w:rFonts w:eastAsia="Segoe UI"/>
          <w:i w:val="0"/>
          <w:iCs w:val="0"/>
          <w:sz w:val="20"/>
          <w:szCs w:val="20"/>
        </w:rPr>
        <w:t xml:space="preserve">NPG </w:t>
      </w:r>
      <w:proofErr w:type="spellStart"/>
      <w:r>
        <w:rPr>
          <w:rStyle w:val="Accentuation"/>
          <w:rFonts w:eastAsia="Segoe UI"/>
          <w:i w:val="0"/>
          <w:iCs w:val="0"/>
          <w:sz w:val="20"/>
          <w:szCs w:val="20"/>
        </w:rPr>
        <w:t>Neurol</w:t>
      </w:r>
      <w:proofErr w:type="spellEnd"/>
      <w:r>
        <w:rPr>
          <w:rStyle w:val="Accentuation"/>
          <w:rFonts w:eastAsia="Segoe UI"/>
          <w:i w:val="0"/>
          <w:iCs w:val="0"/>
          <w:sz w:val="20"/>
          <w:szCs w:val="20"/>
        </w:rPr>
        <w:t xml:space="preserve"> Psyc</w:t>
      </w:r>
      <w:r>
        <w:rPr>
          <w:rStyle w:val="Accentuation"/>
          <w:rFonts w:eastAsia="Segoe UI"/>
          <w:sz w:val="20"/>
          <w:szCs w:val="20"/>
        </w:rPr>
        <w:t>hiatrie Gériatrie</w:t>
      </w:r>
      <w:r>
        <w:rPr>
          <w:rFonts w:eastAsia="Segoe UI"/>
          <w:sz w:val="20"/>
          <w:szCs w:val="20"/>
        </w:rPr>
        <w:t xml:space="preserve">. </w:t>
      </w:r>
      <w:proofErr w:type="gramStart"/>
      <w:r>
        <w:rPr>
          <w:rFonts w:eastAsia="Segoe UI"/>
          <w:sz w:val="20"/>
          <w:szCs w:val="20"/>
        </w:rPr>
        <w:t>2007;</w:t>
      </w:r>
      <w:proofErr w:type="gramEnd"/>
      <w:r>
        <w:rPr>
          <w:rFonts w:eastAsia="Segoe UI"/>
          <w:sz w:val="20"/>
          <w:szCs w:val="20"/>
        </w:rPr>
        <w:t xml:space="preserve">7(37):11-3. </w:t>
      </w:r>
    </w:p>
    <w:p w:rsidR="005F20FC" w:rsidRDefault="005F20FC">
      <w:pPr>
        <w:spacing w:after="0" w:line="240" w:lineRule="auto"/>
        <w:jc w:val="both"/>
        <w:rPr>
          <w:rFonts w:ascii="Times New Roman" w:hAnsi="Times New Roman" w:cs="Times New Roman"/>
          <w:b/>
          <w:sz w:val="20"/>
          <w:szCs w:val="20"/>
        </w:rPr>
      </w:pPr>
    </w:p>
    <w:sectPr w:rsidR="005F20FC" w:rsidSect="00F07FC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C4A" w:rsidRDefault="00511C4A">
      <w:pPr>
        <w:spacing w:line="240" w:lineRule="auto"/>
      </w:pPr>
      <w:r>
        <w:separator/>
      </w:r>
    </w:p>
  </w:endnote>
  <w:endnote w:type="continuationSeparator" w:id="0">
    <w:p w:rsidR="00511C4A" w:rsidRDefault="00511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FC" w:rsidRDefault="00191971">
    <w:pPr>
      <w:pStyle w:val="Pieddepage"/>
      <w:jc w:val="right"/>
    </w:pPr>
    <w:r>
      <w:tab/>
    </w:r>
    <w:r>
      <w:tab/>
    </w:r>
    <w:sdt>
      <w:sdtPr>
        <w:id w:val="-1070186654"/>
        <w:showingPlcHdr/>
      </w:sdtPr>
      <w:sdtEndPr/>
      <w:sdtContent>
        <w:r w:rsidR="00C331DA">
          <w:t xml:space="preserve">     </w:t>
        </w:r>
      </w:sdtContent>
    </w:sdt>
  </w:p>
  <w:p w:rsidR="005F20FC" w:rsidRDefault="005F20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C4A" w:rsidRDefault="00511C4A">
      <w:pPr>
        <w:spacing w:after="0"/>
      </w:pPr>
      <w:r>
        <w:separator/>
      </w:r>
    </w:p>
  </w:footnote>
  <w:footnote w:type="continuationSeparator" w:id="0">
    <w:p w:rsidR="00511C4A" w:rsidRDefault="00511C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FC" w:rsidRDefault="00191971">
    <w:pPr>
      <w:pStyle w:val="En-tte"/>
    </w:pPr>
    <w:r>
      <w:rPr>
        <w:i/>
      </w:rPr>
      <w:ptab w:relativeTo="margin" w:alignment="center" w:leader="none"/>
    </w:r>
    <w:r>
      <w:rPr>
        <w:i/>
      </w:rPr>
      <w:t>Head and Neck Journal of Madagascar</w:t>
    </w:r>
    <w:r>
      <w:t>.</w:t>
    </w:r>
    <w:r w:rsidR="00BC694C">
      <w:t xml:space="preserve"> </w:t>
    </w:r>
    <w:proofErr w:type="gramStart"/>
    <w:r w:rsidR="00BC694C">
      <w:t>2025;</w:t>
    </w:r>
    <w:proofErr w:type="gramEnd"/>
    <w:r w:rsidR="00BC694C">
      <w:t>7:711-7.</w:t>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859327"/>
    <w:multiLevelType w:val="singleLevel"/>
    <w:tmpl w:val="A8859327"/>
    <w:lvl w:ilvl="0">
      <w:start w:val="2"/>
      <w:numFmt w:val="decimal"/>
      <w:suff w:val="space"/>
      <w:lvlText w:val="%1."/>
      <w:lvlJc w:val="left"/>
    </w:lvl>
  </w:abstractNum>
  <w:abstractNum w:abstractNumId="1" w15:restartNumberingAfterBreak="0">
    <w:nsid w:val="AE9DDE11"/>
    <w:multiLevelType w:val="singleLevel"/>
    <w:tmpl w:val="AE9DDE11"/>
    <w:lvl w:ilvl="0">
      <w:start w:val="1"/>
      <w:numFmt w:val="decimal"/>
      <w:suff w:val="space"/>
      <w:lvlText w:val="%1."/>
      <w:lvlJc w:val="left"/>
    </w:lvl>
  </w:abstractNum>
  <w:abstractNum w:abstractNumId="2" w15:restartNumberingAfterBreak="0">
    <w:nsid w:val="1BA52F01"/>
    <w:multiLevelType w:val="multilevel"/>
    <w:tmpl w:val="1BA52F01"/>
    <w:lvl w:ilvl="0">
      <w:start w:val="1"/>
      <w:numFmt w:val="upperRoman"/>
      <w:suff w:val="space"/>
      <w:lvlText w:val="%1."/>
      <w:lvlJc w:val="right"/>
      <w:pPr>
        <w:ind w:left="360" w:hanging="360"/>
      </w:pPr>
      <w:rPr>
        <w:rFonts w:hint="default"/>
      </w:rPr>
    </w:lvl>
    <w:lvl w:ilvl="1">
      <w:start w:val="1"/>
      <w:numFmt w:val="decimal"/>
      <w:pStyle w:val="Titre2"/>
      <w:suff w:val="space"/>
      <w:lvlText w:val="%1.%2."/>
      <w:lvlJc w:val="left"/>
      <w:pPr>
        <w:ind w:left="576" w:hanging="576"/>
      </w:pPr>
      <w:rPr>
        <w:rFonts w:hint="default"/>
        <w:color w:val="auto"/>
      </w:rPr>
    </w:lvl>
    <w:lvl w:ilvl="2">
      <w:start w:val="1"/>
      <w:numFmt w:val="decimal"/>
      <w:suff w:val="space"/>
      <w:lvlText w:val="%1.%2.%3."/>
      <w:lvlJc w:val="left"/>
      <w:pPr>
        <w:ind w:left="1288" w:hanging="720"/>
      </w:pPr>
      <w:rPr>
        <w:rFonts w:hint="default"/>
        <w:color w:val="auto"/>
      </w:rPr>
    </w:lvl>
    <w:lvl w:ilvl="3">
      <w:start w:val="1"/>
      <w:numFmt w:val="decimal"/>
      <w:suff w:val="space"/>
      <w:lvlText w:val="%1.%2.%3.%4."/>
      <w:lvlJc w:val="left"/>
      <w:pPr>
        <w:ind w:left="2708" w:hanging="864"/>
      </w:pPr>
      <w:rPr>
        <w:rFonts w:hint="default"/>
        <w:color w:val="auto"/>
      </w:rPr>
    </w:lvl>
    <w:lvl w:ilvl="4">
      <w:start w:val="1"/>
      <w:numFmt w:val="decimal"/>
      <w:lvlText w:val="%1.%2.%3.%4.%5"/>
      <w:lvlJc w:val="left"/>
      <w:pPr>
        <w:ind w:left="2993"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E1557EA"/>
    <w:multiLevelType w:val="singleLevel"/>
    <w:tmpl w:val="7E1557EA"/>
    <w:lvl w:ilvl="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0E3EAF"/>
    <w:rsid w:val="00062885"/>
    <w:rsid w:val="000B23D8"/>
    <w:rsid w:val="000C1399"/>
    <w:rsid w:val="000E3EAF"/>
    <w:rsid w:val="00163068"/>
    <w:rsid w:val="00191971"/>
    <w:rsid w:val="001A70EE"/>
    <w:rsid w:val="001F5073"/>
    <w:rsid w:val="00223971"/>
    <w:rsid w:val="002259A0"/>
    <w:rsid w:val="0022782C"/>
    <w:rsid w:val="0028270B"/>
    <w:rsid w:val="00287BB1"/>
    <w:rsid w:val="00316FD4"/>
    <w:rsid w:val="00384A8C"/>
    <w:rsid w:val="00391B23"/>
    <w:rsid w:val="003B28D3"/>
    <w:rsid w:val="003D1427"/>
    <w:rsid w:val="003F2BF8"/>
    <w:rsid w:val="00434AD1"/>
    <w:rsid w:val="00444DB7"/>
    <w:rsid w:val="00511C4A"/>
    <w:rsid w:val="005176DE"/>
    <w:rsid w:val="00540B67"/>
    <w:rsid w:val="005568C6"/>
    <w:rsid w:val="005B5F0D"/>
    <w:rsid w:val="005F20FC"/>
    <w:rsid w:val="0062671A"/>
    <w:rsid w:val="00642053"/>
    <w:rsid w:val="00642331"/>
    <w:rsid w:val="0064495E"/>
    <w:rsid w:val="00652270"/>
    <w:rsid w:val="006540F2"/>
    <w:rsid w:val="00662824"/>
    <w:rsid w:val="00685DE2"/>
    <w:rsid w:val="006A563F"/>
    <w:rsid w:val="006C73A9"/>
    <w:rsid w:val="006F1D3F"/>
    <w:rsid w:val="007029AE"/>
    <w:rsid w:val="007108E8"/>
    <w:rsid w:val="007918E2"/>
    <w:rsid w:val="007B2A28"/>
    <w:rsid w:val="007E56C2"/>
    <w:rsid w:val="0080583D"/>
    <w:rsid w:val="00835A7C"/>
    <w:rsid w:val="008B616D"/>
    <w:rsid w:val="00902E15"/>
    <w:rsid w:val="00966746"/>
    <w:rsid w:val="009D037A"/>
    <w:rsid w:val="009E6301"/>
    <w:rsid w:val="009E7A19"/>
    <w:rsid w:val="00A03F59"/>
    <w:rsid w:val="00A24E93"/>
    <w:rsid w:val="00A32BF7"/>
    <w:rsid w:val="00A446FD"/>
    <w:rsid w:val="00A502C4"/>
    <w:rsid w:val="00A6284B"/>
    <w:rsid w:val="00A65F1F"/>
    <w:rsid w:val="00AA4212"/>
    <w:rsid w:val="00AB2C44"/>
    <w:rsid w:val="00AC6FA6"/>
    <w:rsid w:val="00AD099F"/>
    <w:rsid w:val="00B01546"/>
    <w:rsid w:val="00B07A8E"/>
    <w:rsid w:val="00B163C8"/>
    <w:rsid w:val="00B23BC7"/>
    <w:rsid w:val="00BC694C"/>
    <w:rsid w:val="00BE1F2F"/>
    <w:rsid w:val="00C037C9"/>
    <w:rsid w:val="00C316A0"/>
    <w:rsid w:val="00C331DA"/>
    <w:rsid w:val="00D55C91"/>
    <w:rsid w:val="00D57110"/>
    <w:rsid w:val="00D57555"/>
    <w:rsid w:val="00DD3C3A"/>
    <w:rsid w:val="00DF4A01"/>
    <w:rsid w:val="00E12C42"/>
    <w:rsid w:val="00E30515"/>
    <w:rsid w:val="00E36B35"/>
    <w:rsid w:val="00E460C6"/>
    <w:rsid w:val="00EE12B0"/>
    <w:rsid w:val="00EF5845"/>
    <w:rsid w:val="00F07FC5"/>
    <w:rsid w:val="00F51224"/>
    <w:rsid w:val="00F72620"/>
    <w:rsid w:val="00F9793A"/>
    <w:rsid w:val="00FA7286"/>
    <w:rsid w:val="00FC0955"/>
    <w:rsid w:val="058810BB"/>
    <w:rsid w:val="09533887"/>
    <w:rsid w:val="1F932275"/>
    <w:rsid w:val="4F5D23D6"/>
    <w:rsid w:val="538B6113"/>
    <w:rsid w:val="5B42165E"/>
    <w:rsid w:val="5F6217F9"/>
    <w:rsid w:val="60CB4784"/>
    <w:rsid w:val="6BC75F6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7"/>
        <o:r id="V:Rule2" type="connector" idref="#_x0000_s1032"/>
        <o:r id="V:Rule3" type="connector" idref="#_x0000_s1031"/>
        <o:r id="V:Rule4" type="connector" idref="#_x0000_s1029"/>
        <o:r id="V:Rule5" type="connector" idref="#_x0000_s1030"/>
        <o:r id="V:Rule6" type="connector" idref="#_x0000_s1028"/>
      </o:rules>
    </o:shapelayout>
  </w:shapeDefaults>
  <w:decimalSymbol w:val=","/>
  <w:listSeparator w:val=";"/>
  <w14:docId w14:val="2B22638D"/>
  <w15:docId w15:val="{CCADC6EA-D6E7-426A-B891-69622A95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C5"/>
    <w:pPr>
      <w:spacing w:after="200" w:line="276" w:lineRule="auto"/>
    </w:pPr>
    <w:rPr>
      <w:rFonts w:asciiTheme="minorHAnsi" w:eastAsiaTheme="minorHAnsi" w:hAnsiTheme="minorHAnsi" w:cstheme="minorBidi"/>
      <w:sz w:val="22"/>
      <w:szCs w:val="22"/>
      <w:lang w:eastAsia="en-US"/>
    </w:rPr>
  </w:style>
  <w:style w:type="paragraph" w:styleId="Titre2">
    <w:name w:val="heading 2"/>
    <w:basedOn w:val="Normal"/>
    <w:next w:val="Normal"/>
    <w:uiPriority w:val="9"/>
    <w:unhideWhenUsed/>
    <w:qFormat/>
    <w:rsid w:val="00F07FC5"/>
    <w:pPr>
      <w:keepNext/>
      <w:keepLines/>
      <w:numPr>
        <w:ilvl w:val="1"/>
        <w:numId w:val="1"/>
      </w:numPr>
      <w:spacing w:before="40" w:after="80"/>
      <w:outlineLvl w:val="1"/>
    </w:pPr>
    <w:rPr>
      <w:rFonts w:eastAsiaTheme="majorEastAsia" w:cstheme="majorBidi"/>
      <w:b/>
      <w:color w:val="000000" w:themeColor="text1"/>
      <w:szCs w:val="26"/>
    </w:rPr>
  </w:style>
  <w:style w:type="paragraph" w:styleId="Titre3">
    <w:name w:val="heading 3"/>
    <w:basedOn w:val="Normal"/>
    <w:next w:val="Normal"/>
    <w:semiHidden/>
    <w:unhideWhenUsed/>
    <w:qFormat/>
    <w:rsid w:val="00F07FC5"/>
    <w:pPr>
      <w:spacing w:beforeAutospacing="1" w:afterAutospacing="1"/>
      <w:outlineLvl w:val="2"/>
    </w:pPr>
    <w:rPr>
      <w:rFonts w:ascii="SimSun" w:eastAsia="SimSun" w:hAnsi="SimSun" w:cs="Times New Roman" w:hint="eastAsia"/>
      <w:b/>
      <w:bCs/>
      <w:sz w:val="26"/>
      <w:szCs w:val="26"/>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sid w:val="00F07FC5"/>
    <w:rPr>
      <w:color w:val="0000FF" w:themeColor="hyperlink"/>
      <w:u w:val="single"/>
    </w:rPr>
  </w:style>
  <w:style w:type="character" w:styleId="lev">
    <w:name w:val="Strong"/>
    <w:qFormat/>
    <w:rsid w:val="00F07FC5"/>
    <w:rPr>
      <w:b/>
      <w:bCs/>
    </w:rPr>
  </w:style>
  <w:style w:type="character" w:styleId="Accentuation">
    <w:name w:val="Emphasis"/>
    <w:qFormat/>
    <w:rsid w:val="00F07FC5"/>
    <w:rPr>
      <w:i/>
      <w:iCs/>
    </w:rPr>
  </w:style>
  <w:style w:type="paragraph" w:styleId="Textedebulles">
    <w:name w:val="Balloon Text"/>
    <w:basedOn w:val="Normal"/>
    <w:link w:val="TextedebullesCar"/>
    <w:uiPriority w:val="99"/>
    <w:semiHidden/>
    <w:unhideWhenUsed/>
    <w:qFormat/>
    <w:rsid w:val="00F07FC5"/>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F07FC5"/>
    <w:pPr>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qFormat/>
    <w:rsid w:val="00F07FC5"/>
    <w:pPr>
      <w:tabs>
        <w:tab w:val="center" w:pos="4536"/>
        <w:tab w:val="right" w:pos="9072"/>
      </w:tabs>
      <w:spacing w:after="0" w:line="240" w:lineRule="auto"/>
    </w:pPr>
  </w:style>
  <w:style w:type="paragraph" w:styleId="En-tte">
    <w:name w:val="header"/>
    <w:basedOn w:val="Normal"/>
    <w:link w:val="En-tteCar"/>
    <w:uiPriority w:val="99"/>
    <w:unhideWhenUsed/>
    <w:qFormat/>
    <w:rsid w:val="00F07FC5"/>
    <w:pPr>
      <w:tabs>
        <w:tab w:val="center" w:pos="4536"/>
        <w:tab w:val="right" w:pos="9072"/>
      </w:tabs>
      <w:spacing w:after="0" w:line="240" w:lineRule="auto"/>
    </w:pPr>
  </w:style>
  <w:style w:type="character" w:customStyle="1" w:styleId="En-tteCar">
    <w:name w:val="En-tête Car"/>
    <w:basedOn w:val="Policepardfaut"/>
    <w:link w:val="En-tte"/>
    <w:uiPriority w:val="99"/>
    <w:rsid w:val="00F07FC5"/>
  </w:style>
  <w:style w:type="character" w:customStyle="1" w:styleId="PieddepageCar">
    <w:name w:val="Pied de page Car"/>
    <w:basedOn w:val="Policepardfaut"/>
    <w:link w:val="Pieddepage"/>
    <w:uiPriority w:val="99"/>
    <w:qFormat/>
    <w:rsid w:val="00F07FC5"/>
  </w:style>
  <w:style w:type="paragraph" w:styleId="Paragraphedeliste">
    <w:name w:val="List Paragraph"/>
    <w:basedOn w:val="Normal"/>
    <w:uiPriority w:val="34"/>
    <w:qFormat/>
    <w:rsid w:val="00F07FC5"/>
    <w:pPr>
      <w:ind w:left="720"/>
      <w:contextualSpacing/>
    </w:pPr>
  </w:style>
  <w:style w:type="character" w:customStyle="1" w:styleId="TextedebullesCar">
    <w:name w:val="Texte de bulles Car"/>
    <w:basedOn w:val="Policepardfaut"/>
    <w:link w:val="Textedebulles"/>
    <w:uiPriority w:val="99"/>
    <w:semiHidden/>
    <w:qFormat/>
    <w:rsid w:val="00F07FC5"/>
    <w:rPr>
      <w:rFonts w:ascii="Tahoma" w:hAnsi="Tahoma" w:cs="Tahoma"/>
      <w:sz w:val="16"/>
      <w:szCs w:val="16"/>
    </w:rPr>
  </w:style>
  <w:style w:type="paragraph" w:customStyle="1" w:styleId="Bibliographie1">
    <w:name w:val="Bibliographie1"/>
    <w:basedOn w:val="Normal"/>
    <w:next w:val="Normal"/>
    <w:uiPriority w:val="37"/>
    <w:unhideWhenUsed/>
    <w:rsid w:val="00F07FC5"/>
    <w:pPr>
      <w:spacing w:after="160" w:line="256" w:lineRule="auto"/>
    </w:pPr>
  </w:style>
  <w:style w:type="table" w:styleId="Grilledutableau">
    <w:name w:val="Table Grid"/>
    <w:basedOn w:val="TableauNormal"/>
    <w:uiPriority w:val="39"/>
    <w:qFormat/>
    <w:rsid w:val="00F07FC5"/>
    <w:pPr>
      <w:ind w:firstLine="567"/>
      <w:jc w:val="both"/>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books/NBK430939/"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hanitranadia@gmail.com" TargetMode="External"/><Relationship Id="rId14" Type="http://schemas.openxmlformats.org/officeDocument/2006/relationships/hyperlink" Target="https://www.ncbi.nlm.nih.gov/books/NBK507811/"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Users\macbook\Desktop\BDD%20Choc%20septiqu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55493911273511"/>
          <c:y val="2.8201512626586316E-2"/>
          <c:w val="0.48397850530526132"/>
          <c:h val="0.84432765030124302"/>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B20D-4694-AA4A-50A657C06B5D}"/>
              </c:ext>
            </c:extLst>
          </c:dPt>
          <c:dLbls>
            <c:dLbl>
              <c:idx val="0"/>
              <c:tx>
                <c:rich>
                  <a:bodyPr/>
                  <a:lstStyle/>
                  <a:p>
                    <a:r>
                      <a:rPr lang="en-US" sz="1000"/>
                      <a:t>36,4 %</a:t>
                    </a:r>
                  </a:p>
                  <a:p>
                    <a:r>
                      <a:rPr lang="en-US" sz="1000"/>
                      <a:t>n= 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0D-4694-AA4A-50A657C06B5D}"/>
                </c:ext>
              </c:extLst>
            </c:dLbl>
            <c:dLbl>
              <c:idx val="1"/>
              <c:tx>
                <c:rich>
                  <a:bodyPr/>
                  <a:lstStyle/>
                  <a:p>
                    <a:r>
                      <a:rPr lang="en-US" sz="1000"/>
                      <a:t>21,8 %</a:t>
                    </a:r>
                  </a:p>
                  <a:p>
                    <a:r>
                      <a:rPr lang="en-US" sz="1000"/>
                      <a:t>n= 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0D-4694-AA4A-50A657C06B5D}"/>
                </c:ext>
              </c:extLst>
            </c:dLbl>
            <c:dLbl>
              <c:idx val="2"/>
              <c:tx>
                <c:rich>
                  <a:bodyPr/>
                  <a:lstStyle/>
                  <a:p>
                    <a:fld id="{77D887CB-A6D6-4B61-98EA-BFA1629D7E18}"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0D-4694-AA4A-50A657C06B5D}"/>
                </c:ext>
              </c:extLst>
            </c:dLbl>
            <c:dLbl>
              <c:idx val="3"/>
              <c:tx>
                <c:rich>
                  <a:bodyPr/>
                  <a:lstStyle/>
                  <a:p>
                    <a:r>
                      <a:rPr lang="en-US" sz="1000"/>
                      <a:t>18,2 %</a:t>
                    </a:r>
                  </a:p>
                  <a:p>
                    <a:r>
                      <a:rPr lang="en-US" sz="1000"/>
                      <a:t>n= 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0D-4694-AA4A-50A657C06B5D}"/>
                </c:ext>
              </c:extLst>
            </c:dLbl>
            <c:dLbl>
              <c:idx val="4"/>
              <c:tx>
                <c:rich>
                  <a:bodyPr/>
                  <a:lstStyle/>
                  <a:p>
                    <a:r>
                      <a:rPr lang="en-US" sz="1000"/>
                      <a:t>5,4 %</a:t>
                    </a:r>
                  </a:p>
                  <a:p>
                    <a:r>
                      <a:rPr lang="en-US" sz="1000"/>
                      <a:t>n= 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0D-4694-AA4A-50A657C06B5D}"/>
                </c:ext>
              </c:extLst>
            </c:dLbl>
            <c:dLbl>
              <c:idx val="5"/>
              <c:tx>
                <c:rich>
                  <a:bodyPr/>
                  <a:lstStyle/>
                  <a:p>
                    <a:r>
                      <a:rPr lang="en-US" sz="1000"/>
                      <a:t>16,4 %</a:t>
                    </a:r>
                  </a:p>
                  <a:p>
                    <a:r>
                      <a:rPr lang="en-US" sz="1000"/>
                      <a:t>n= 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0D-4694-AA4A-50A657C06B5D}"/>
                </c:ext>
              </c:extLst>
            </c:dLbl>
            <c:spPr>
              <a:noFill/>
              <a:ln>
                <a:noFill/>
              </a:ln>
              <a:effectLst/>
            </c:spPr>
            <c:txPr>
              <a:bodyPr rot="0" spcFirstLastPara="0" vertOverflow="ellipsis" vert="horz" wrap="square" lIns="38100" tIns="19050" rIns="38100" bIns="19050"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Résultats!$A$47:$A$52</c:f>
              <c:strCache>
                <c:ptCount val="6"/>
                <c:pt idx="0">
                  <c:v>Craniectomie décompressive</c:v>
                </c:pt>
                <c:pt idx="1">
                  <c:v>Evacuation d'un HIP</c:v>
                </c:pt>
                <c:pt idx="2">
                  <c:v>Evacuation d'un HSD</c:v>
                </c:pt>
                <c:pt idx="3">
                  <c:v>Dérivation ventriculaire</c:v>
                </c:pt>
                <c:pt idx="4">
                  <c:v>Autres (évacuation du pus, clippage d'anévrysme)</c:v>
                </c:pt>
                <c:pt idx="5">
                  <c:v>Non post-opératoires</c:v>
                </c:pt>
              </c:strCache>
            </c:strRef>
          </c:cat>
          <c:val>
            <c:numRef>
              <c:f>Résultats!$C$47:$C$52</c:f>
              <c:numCache>
                <c:formatCode>General</c:formatCode>
                <c:ptCount val="6"/>
                <c:pt idx="0">
                  <c:v>36.36</c:v>
                </c:pt>
                <c:pt idx="1">
                  <c:v>21.82</c:v>
                </c:pt>
                <c:pt idx="2">
                  <c:v>20</c:v>
                </c:pt>
                <c:pt idx="3">
                  <c:v>18.18</c:v>
                </c:pt>
                <c:pt idx="4" formatCode="0.00">
                  <c:v>5.4545454545454479</c:v>
                </c:pt>
                <c:pt idx="5" formatCode="0.00">
                  <c:v>16.363636363636388</c:v>
                </c:pt>
              </c:numCache>
            </c:numRef>
          </c:val>
          <c:extLst>
            <c:ext xmlns:c16="http://schemas.microsoft.com/office/drawing/2014/chart" uri="{C3380CC4-5D6E-409C-BE32-E72D297353CC}">
              <c16:uniqueId val="{00000007-B20D-4694-AA4A-50A657C06B5D}"/>
            </c:ext>
          </c:extLst>
        </c:ser>
        <c:dLbls>
          <c:showLegendKey val="0"/>
          <c:showVal val="0"/>
          <c:showCatName val="0"/>
          <c:showSerName val="0"/>
          <c:showPercent val="0"/>
          <c:showBubbleSize val="0"/>
        </c:dLbls>
        <c:gapWidth val="182"/>
        <c:axId val="185449472"/>
        <c:axId val="185455744"/>
      </c:barChart>
      <c:catAx>
        <c:axId val="185449472"/>
        <c:scaling>
          <c:orientation val="minMax"/>
        </c:scaling>
        <c:delete val="0"/>
        <c:axPos val="l"/>
        <c:title>
          <c:tx>
            <c:rich>
              <a:bodyPr rot="-5400000" spcFirstLastPara="0" vertOverflow="ellipsis" vert="horz" wrap="square" anchor="ctr" anchorCtr="1"/>
              <a:lstStyle/>
              <a:p>
                <a:pPr>
                  <a:defRPr lang="fr-FR"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sz="1000"/>
                  <a:t>Motifs d'entrée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185455744"/>
        <c:crosses val="autoZero"/>
        <c:auto val="1"/>
        <c:lblAlgn val="ctr"/>
        <c:lblOffset val="100"/>
        <c:noMultiLvlLbl val="0"/>
      </c:catAx>
      <c:valAx>
        <c:axId val="185455744"/>
        <c:scaling>
          <c:orientation val="minMax"/>
        </c:scaling>
        <c:delete val="0"/>
        <c:axPos val="b"/>
        <c:title>
          <c:tx>
            <c:rich>
              <a:bodyPr rot="0" spcFirstLastPara="0" vertOverflow="ellipsis" vert="horz" wrap="square" anchor="ctr" anchorCtr="1"/>
              <a:lstStyle/>
              <a:p>
                <a:pPr>
                  <a:defRPr lang="fr-FR"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sz="1000"/>
                  <a:t>Pourcentage (%)</a:t>
                </a:r>
              </a:p>
            </c:rich>
          </c:tx>
          <c:overlay val="0"/>
          <c:spPr>
            <a:noFill/>
            <a:ln>
              <a:noFill/>
            </a:ln>
            <a:effectLst/>
          </c:spPr>
        </c:title>
        <c:numFmt formatCode="General" sourceLinked="1"/>
        <c:majorTickMark val="out"/>
        <c:minorTickMark val="none"/>
        <c:tickLblPos val="nextTo"/>
        <c:spPr>
          <a:noFill/>
          <a:ln w="9525" cap="flat" cmpd="sng" algn="ctr">
            <a:solidFill>
              <a:sysClr val="window" lastClr="FFFFFF">
                <a:lumMod val="75000"/>
              </a:sysClr>
            </a:solidFill>
            <a:prstDash val="solid"/>
            <a:round/>
          </a:ln>
          <a:effectLst/>
        </c:spPr>
        <c:txPr>
          <a:bodyPr rot="-60000000" spcFirstLastPara="0" vertOverflow="ellipsis" vert="horz" wrap="square" anchor="ctr" anchorCtr="1"/>
          <a:lstStyle/>
          <a:p>
            <a:pPr>
              <a:defRPr lang="fr-FR"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185449472"/>
        <c:crosses val="autoZero"/>
        <c:crossBetween val="between"/>
      </c:valAx>
      <c:spPr>
        <a:noFill/>
        <a:ln>
          <a:noFill/>
        </a:ln>
        <a:effectLst/>
      </c:spPr>
    </c:plotArea>
    <c:plotVisOnly val="1"/>
    <c:dispBlanksAs val="gap"/>
    <c:showDLblsOverMax val="0"/>
    <c:extLst>
      <c:ext uri="{0b15fc19-7d7d-44ad-8c2d-2c3a37ce22c3}">
        <chartProps xmlns="https://web.wps.cn/et/2018/main" chartId="{1f67ebcc-55d6-47dc-a3f8-299b1b4c5055}"/>
      </c:ext>
    </c:extLst>
  </c:chart>
  <c:spPr>
    <a:solidFill>
      <a:schemeClr val="bg1"/>
    </a:solidFill>
    <a:ln w="9525" cap="flat" cmpd="sng" algn="ctr">
      <a:noFill/>
      <a:prstDash val="solid"/>
      <a:round/>
    </a:ln>
    <a:effectLst/>
  </c:spPr>
  <c:txPr>
    <a:bodyPr/>
    <a:lstStyle/>
    <a:p>
      <a:pPr>
        <a:defRPr lang="fr-FR" sz="1000">
          <a:solidFill>
            <a:sysClr val="windowText" lastClr="000000"/>
          </a:solidFill>
          <a:latin typeface="Times New Roman" panose="02020603050405020304" charset="0"/>
          <a:cs typeface="Times New Roman" panose="02020603050405020304" charset="0"/>
        </a:defRPr>
      </a:pPr>
      <a:endParaRPr lang="fr-FR"/>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4201</Words>
  <Characters>23106</Characters>
  <Application>Microsoft Office Word</Application>
  <DocSecurity>0</DocSecurity>
  <Lines>192</Lines>
  <Paragraphs>54</Paragraphs>
  <ScaleCrop>false</ScaleCrop>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MOUANGUE</dc:creator>
  <cp:lastModifiedBy>RANTOU</cp:lastModifiedBy>
  <cp:revision>20</cp:revision>
  <dcterms:created xsi:type="dcterms:W3CDTF">2025-04-02T09:37:00Z</dcterms:created>
  <dcterms:modified xsi:type="dcterms:W3CDTF">2026-01-31T08:55:00Z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929543706</vt:i4>
  </property>
  <property fmtid="{D5CDD505-2E9C-101B-9397-08002B2CF9AE}" pid="3" name="KSOProductBuildVer">
    <vt:lpwstr>1036-12.2.0.23196</vt:lpwstr>
  </property>
  <property fmtid="{D5CDD505-2E9C-101B-9397-08002B2CF9AE}" pid="4" name="ICV">
    <vt:lpwstr>863ECEA186C24D5CBC3B9B28586508C7_12</vt:lpwstr>
  </property>
</Properties>
</file>